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D6D" w:rsidRDefault="00406D6D" w:rsidP="0075212B">
      <w:pPr>
        <w:spacing w:after="0"/>
        <w:jc w:val="center"/>
        <w:rPr>
          <w:b/>
          <w:bCs/>
          <w:lang w:val="en-US"/>
        </w:rPr>
      </w:pPr>
    </w:p>
    <w:p w:rsidR="009E1707" w:rsidRDefault="009E1707" w:rsidP="0075212B">
      <w:pPr>
        <w:spacing w:after="0"/>
        <w:jc w:val="center"/>
        <w:rPr>
          <w:b/>
          <w:bCs/>
          <w:lang w:val="en-US"/>
        </w:rPr>
      </w:pPr>
    </w:p>
    <w:p w:rsidR="00406D6D" w:rsidRDefault="00406D6D" w:rsidP="0075212B">
      <w:pPr>
        <w:spacing w:after="0"/>
        <w:jc w:val="center"/>
        <w:rPr>
          <w:b/>
          <w:bCs/>
          <w:lang w:val="en-US"/>
        </w:rPr>
      </w:pPr>
    </w:p>
    <w:p w:rsidR="00F12C76" w:rsidRPr="00DF774B" w:rsidRDefault="0079280C" w:rsidP="0075212B">
      <w:pPr>
        <w:spacing w:after="0"/>
        <w:jc w:val="center"/>
        <w:rPr>
          <w:b/>
          <w:bCs/>
          <w:lang w:val="ru-RU"/>
        </w:rPr>
      </w:pPr>
      <w:r w:rsidRPr="00DF774B">
        <w:rPr>
          <w:b/>
          <w:bCs/>
          <w:lang w:val="ru-RU"/>
        </w:rPr>
        <w:t>НАПРАВЛЕНИЯ ПОВЫШЕНИЯ ПРИВЛЕЧЕНИЯ ИНВЕСТИЦИЙ В СЕЛЬСКОХОЗЯЙСТВЕННЫЙ СЕКТОР</w:t>
      </w:r>
    </w:p>
    <w:p w:rsidR="00C72E31" w:rsidRPr="00DF774B" w:rsidRDefault="00C72E31" w:rsidP="0075212B">
      <w:pPr>
        <w:spacing w:after="0" w:line="276" w:lineRule="auto"/>
        <w:jc w:val="center"/>
        <w:rPr>
          <w:b/>
          <w:bCs/>
          <w:lang w:val="ru-RU"/>
        </w:rPr>
      </w:pPr>
    </w:p>
    <w:p w:rsidR="00C72E31" w:rsidRPr="00DF774B" w:rsidRDefault="00C72E31" w:rsidP="00406D6D">
      <w:pPr>
        <w:spacing w:after="0" w:line="276" w:lineRule="auto"/>
        <w:rPr>
          <w:b/>
          <w:bCs/>
          <w:lang w:val="ru-RU"/>
        </w:rPr>
      </w:pPr>
    </w:p>
    <w:p w:rsidR="00C72E31" w:rsidRPr="00DF774B" w:rsidRDefault="00E46DF0" w:rsidP="0075212B">
      <w:pPr>
        <w:spacing w:after="0" w:line="276" w:lineRule="auto"/>
        <w:jc w:val="center"/>
        <w:rPr>
          <w:b/>
          <w:bCs/>
          <w:lang w:val="ru-RU"/>
        </w:rPr>
      </w:pPr>
      <w:r w:rsidRPr="00DF774B">
        <w:rPr>
          <w:b/>
          <w:bCs/>
          <w:lang w:val="ru-RU"/>
        </w:rPr>
        <w:br w:type="page"/>
      </w:r>
    </w:p>
    <w:p w:rsidR="00C72E31" w:rsidRPr="00DF774B" w:rsidRDefault="00C72E31" w:rsidP="0075212B">
      <w:pPr>
        <w:spacing w:after="0" w:line="276" w:lineRule="auto"/>
        <w:jc w:val="center"/>
        <w:rPr>
          <w:b/>
          <w:bCs/>
          <w:lang w:val="ru-RU"/>
        </w:rPr>
      </w:pPr>
    </w:p>
    <w:p w:rsidR="0075212B" w:rsidRPr="00DF774B" w:rsidRDefault="0079280C" w:rsidP="0075212B">
      <w:pPr>
        <w:spacing w:after="0" w:line="276" w:lineRule="auto"/>
        <w:jc w:val="center"/>
        <w:rPr>
          <w:b/>
          <w:bCs/>
          <w:kern w:val="0"/>
          <w:szCs w:val="28"/>
          <w:lang w:val="ru-RU"/>
        </w:rPr>
      </w:pPr>
      <w:r w:rsidRPr="00DF774B">
        <w:rPr>
          <w:b/>
          <w:bCs/>
          <w:kern w:val="0"/>
          <w:szCs w:val="28"/>
          <w:lang w:val="ru-RU"/>
        </w:rPr>
        <w:t>ОГЛАВЛЕНИЕ</w:t>
      </w:r>
    </w:p>
    <w:p w:rsidR="0075212B" w:rsidRPr="00DF774B" w:rsidRDefault="0075212B" w:rsidP="0075212B">
      <w:pPr>
        <w:spacing w:after="0" w:line="276" w:lineRule="auto"/>
        <w:jc w:val="center"/>
        <w:rPr>
          <w:b/>
          <w:bCs/>
          <w:kern w:val="0"/>
          <w:szCs w:val="28"/>
          <w:lang w:val="ru-RU"/>
        </w:rPr>
      </w:pPr>
    </w:p>
    <w:p w:rsidR="00DF774B" w:rsidRDefault="0079280C" w:rsidP="0075212B">
      <w:pPr>
        <w:spacing w:after="0" w:line="276" w:lineRule="auto"/>
        <w:jc w:val="both"/>
        <w:rPr>
          <w:kern w:val="0"/>
          <w:szCs w:val="28"/>
          <w:lang w:val="uz-Cyrl-UZ"/>
        </w:rPr>
      </w:pPr>
      <w:r>
        <w:rPr>
          <w:b/>
          <w:kern w:val="0"/>
          <w:szCs w:val="28"/>
          <w:lang w:val="uz-Cyrl-UZ"/>
        </w:rPr>
        <w:t xml:space="preserve">ВВЕДЕНИЕ </w:t>
      </w:r>
      <w:bookmarkStart w:id="0" w:name="_Hlk195213306"/>
      <w:bookmarkStart w:id="1" w:name="_Hlk85442874"/>
    </w:p>
    <w:p w:rsidR="0075212B" w:rsidRPr="00DF774B" w:rsidRDefault="0075212B" w:rsidP="0075212B">
      <w:pPr>
        <w:spacing w:after="0" w:line="276" w:lineRule="auto"/>
        <w:jc w:val="both"/>
        <w:rPr>
          <w:b/>
          <w:kern w:val="0"/>
          <w:szCs w:val="28"/>
          <w:lang w:val="ru-RU"/>
        </w:rPr>
      </w:pPr>
      <w:r w:rsidRPr="004A0FD9">
        <w:rPr>
          <w:b/>
          <w:kern w:val="0"/>
          <w:szCs w:val="28"/>
          <w:lang w:val="uz-Cyrl-UZ"/>
        </w:rPr>
        <w:t xml:space="preserve">ГЛАВА I. НАУЧНЫЕ И ТЕОРЕТИЧЕСКИЕ ОСНОВЫ ПРИВЛЕЧЕНИЯ ИНВЕСТИЦИЙ В СЕЛЬСКОХОЗЯЙСТВЕННЫЙ СЕКТОР </w:t>
      </w:r>
    </w:p>
    <w:p w:rsidR="0075212B" w:rsidRPr="00DF774B" w:rsidRDefault="0075212B" w:rsidP="0075212B">
      <w:pPr>
        <w:spacing w:after="0" w:line="276" w:lineRule="auto"/>
        <w:jc w:val="both"/>
        <w:rPr>
          <w:b/>
          <w:kern w:val="0"/>
          <w:szCs w:val="28"/>
          <w:lang w:val="ru-RU"/>
        </w:rPr>
      </w:pPr>
      <w:r w:rsidRPr="004A0FD9">
        <w:rPr>
          <w:bCs/>
          <w:kern w:val="0"/>
          <w:szCs w:val="28"/>
          <w:lang w:val="uz-Cyrl-UZ"/>
        </w:rPr>
        <w:t>1.1-§ Сущность и научно-теоретические взгляды на привлечение инвестиций в аграрный сектор</w:t>
      </w:r>
      <w:bookmarkEnd w:id="0"/>
      <w:r w:rsidR="00D61290" w:rsidRPr="00DF774B">
        <w:rPr>
          <w:kern w:val="0"/>
          <w:szCs w:val="28"/>
          <w:lang w:val="ru-RU"/>
        </w:rPr>
        <w:t>..</w:t>
      </w:r>
    </w:p>
    <w:p w:rsidR="0075212B" w:rsidRPr="00D61290" w:rsidRDefault="0075212B" w:rsidP="0075212B">
      <w:pPr>
        <w:spacing w:after="0" w:line="276" w:lineRule="auto"/>
        <w:jc w:val="both"/>
        <w:rPr>
          <w:bCs/>
          <w:kern w:val="0"/>
          <w:szCs w:val="28"/>
          <w:lang w:val="uz-Cyrl-UZ"/>
        </w:rPr>
      </w:pPr>
      <w:bookmarkStart w:id="2" w:name="_Hlk85462907"/>
      <w:bookmarkEnd w:id="1"/>
      <w:r w:rsidRPr="004A0FD9">
        <w:rPr>
          <w:bCs/>
          <w:kern w:val="0"/>
          <w:szCs w:val="28"/>
          <w:lang w:val="uz-Cyrl-UZ"/>
        </w:rPr>
        <w:t xml:space="preserve">§ 1.2 Нормативно-правовая база и особенности привлечения инвестиций в сельскохозяйственный сектор </w:t>
      </w:r>
    </w:p>
    <w:bookmarkEnd w:id="2"/>
    <w:p w:rsidR="0075212B" w:rsidRPr="00DF774B" w:rsidRDefault="0075212B" w:rsidP="0075212B">
      <w:pPr>
        <w:spacing w:after="0" w:line="276" w:lineRule="auto"/>
        <w:jc w:val="both"/>
        <w:rPr>
          <w:b/>
          <w:kern w:val="0"/>
          <w:szCs w:val="28"/>
          <w:lang w:val="ru-RU"/>
        </w:rPr>
      </w:pPr>
      <w:r w:rsidRPr="004A0FD9">
        <w:rPr>
          <w:bCs/>
          <w:kern w:val="0"/>
          <w:szCs w:val="28"/>
          <w:lang w:val="uz-Cyrl-UZ"/>
        </w:rPr>
        <w:t xml:space="preserve">1.3-§ </w:t>
      </w:r>
      <w:bookmarkStart w:id="3" w:name="_Hlk195212952"/>
      <w:r w:rsidR="0079280C">
        <w:rPr>
          <w:bCs/>
          <w:kern w:val="0"/>
          <w:szCs w:val="28"/>
          <w:lang w:val="uz-Cyrl-UZ"/>
        </w:rPr>
        <w:t>Передовой зарубежный опыт привлечения инвестиций в сельскохозяйственный сектор</w:t>
      </w:r>
      <w:bookmarkEnd w:id="3"/>
      <w:r w:rsidR="00D61290" w:rsidRPr="00DF774B">
        <w:rPr>
          <w:kern w:val="0"/>
          <w:szCs w:val="28"/>
          <w:lang w:val="ru-RU"/>
        </w:rPr>
        <w:t>.......</w:t>
      </w:r>
    </w:p>
    <w:p w:rsidR="0075212B" w:rsidRPr="00DF774B" w:rsidRDefault="0075212B" w:rsidP="0075212B">
      <w:pPr>
        <w:spacing w:after="0" w:line="276" w:lineRule="auto"/>
        <w:jc w:val="both"/>
        <w:rPr>
          <w:b/>
          <w:noProof/>
          <w:kern w:val="0"/>
          <w:szCs w:val="28"/>
          <w:lang w:val="ru-RU"/>
        </w:rPr>
      </w:pPr>
      <w:r w:rsidRPr="004A0FD9">
        <w:rPr>
          <w:b/>
          <w:kern w:val="0"/>
          <w:szCs w:val="28"/>
          <w:lang w:val="uz-Cyrl-UZ"/>
        </w:rPr>
        <w:t xml:space="preserve">ГЛАВА II. </w:t>
      </w:r>
      <w:r w:rsidR="0079280C">
        <w:rPr>
          <w:b/>
          <w:noProof/>
          <w:kern w:val="0"/>
          <w:szCs w:val="28"/>
          <w:lang w:val="uz-Cyrl-UZ"/>
        </w:rPr>
        <w:t xml:space="preserve">АНАЛИЗ ТЕКУЩЕЙ СИТУАЦИИ С ПРИВЛЕЧЕНИЕМ ИНВЕСТИЦИЙ В СЕЛЬСКОХОЗЯЙСТВЕННЫЙ СЕКТОР </w:t>
      </w:r>
    </w:p>
    <w:p w:rsidR="0075212B" w:rsidRPr="00DF774B" w:rsidRDefault="0075212B" w:rsidP="0075212B">
      <w:pPr>
        <w:spacing w:after="0" w:line="276" w:lineRule="auto"/>
        <w:jc w:val="both"/>
        <w:rPr>
          <w:bCs/>
          <w:kern w:val="0"/>
          <w:szCs w:val="28"/>
          <w:lang w:val="ru-RU"/>
        </w:rPr>
      </w:pPr>
      <w:r w:rsidRPr="004A0FD9">
        <w:rPr>
          <w:bCs/>
          <w:kern w:val="0"/>
          <w:szCs w:val="28"/>
          <w:lang w:val="uz-Cyrl-UZ"/>
        </w:rPr>
        <w:t xml:space="preserve">§ 2.1 Анализ </w:t>
      </w:r>
      <w:bookmarkStart w:id="4" w:name="_Hlk195213181"/>
      <w:r w:rsidR="0079280C">
        <w:rPr>
          <w:bCs/>
          <w:kern w:val="0"/>
          <w:szCs w:val="28"/>
          <w:lang w:val="uz-Cyrl-UZ"/>
        </w:rPr>
        <w:t xml:space="preserve">привлечения инвестиций в сельскохозяйственный сектор </w:t>
      </w:r>
      <w:bookmarkEnd w:id="4"/>
      <w:r w:rsidR="0079280C">
        <w:rPr>
          <w:bCs/>
          <w:kern w:val="0"/>
          <w:szCs w:val="28"/>
          <w:lang w:val="uz-Cyrl-UZ"/>
        </w:rPr>
        <w:t xml:space="preserve">на основе эконометрических моделей </w:t>
      </w:r>
      <w:r w:rsidRPr="004A0FD9">
        <w:rPr>
          <w:kern w:val="0"/>
          <w:szCs w:val="28"/>
          <w:lang w:val="uz-Cyrl-UZ"/>
        </w:rPr>
        <w:t xml:space="preserve">........... </w:t>
      </w:r>
      <w:r w:rsidRPr="00DF774B">
        <w:rPr>
          <w:kern w:val="0"/>
          <w:szCs w:val="28"/>
          <w:lang w:val="ru-RU"/>
        </w:rPr>
        <w:t xml:space="preserve">............................... </w:t>
      </w:r>
      <w:r w:rsidRPr="004A0FD9">
        <w:rPr>
          <w:kern w:val="0"/>
          <w:szCs w:val="28"/>
          <w:lang w:val="uz-Cyrl-UZ"/>
        </w:rPr>
        <w:t xml:space="preserve">.................. </w:t>
      </w:r>
    </w:p>
    <w:p w:rsidR="0075212B" w:rsidRPr="00DF774B" w:rsidRDefault="00D61290" w:rsidP="0075212B">
      <w:pPr>
        <w:spacing w:after="0" w:line="276" w:lineRule="auto"/>
        <w:jc w:val="both"/>
        <w:rPr>
          <w:bCs/>
          <w:kern w:val="0"/>
          <w:szCs w:val="28"/>
          <w:lang w:val="ru-RU"/>
        </w:rPr>
      </w:pPr>
      <w:r w:rsidRPr="00DF774B">
        <w:rPr>
          <w:kern w:val="0"/>
          <w:szCs w:val="28"/>
          <w:lang w:val="ru-RU"/>
        </w:rPr>
        <w:t xml:space="preserve">экономических </w:t>
      </w:r>
      <w:r w:rsidR="0075212B" w:rsidRPr="004A0FD9">
        <w:rPr>
          <w:bCs/>
          <w:kern w:val="0"/>
          <w:szCs w:val="28"/>
          <w:lang w:val="uz-Cyrl-UZ"/>
        </w:rPr>
        <w:t xml:space="preserve">и финансовых условий привлечения иностранных инвестиций в аграрный сектор </w:t>
      </w:r>
    </w:p>
    <w:p w:rsidR="0075212B" w:rsidRPr="00DF774B" w:rsidRDefault="00D61290" w:rsidP="00DF774B">
      <w:pPr>
        <w:spacing w:after="0" w:line="276" w:lineRule="auto"/>
        <w:jc w:val="both"/>
        <w:rPr>
          <w:kern w:val="0"/>
          <w:szCs w:val="28"/>
          <w:lang w:val="ru-RU"/>
        </w:rPr>
      </w:pPr>
      <w:r w:rsidRPr="00DF774B">
        <w:rPr>
          <w:kern w:val="0"/>
          <w:szCs w:val="28"/>
          <w:lang w:val="ru-RU"/>
        </w:rPr>
        <w:t xml:space="preserve">финансирования </w:t>
      </w:r>
      <w:r w:rsidR="0075212B" w:rsidRPr="004A0FD9">
        <w:rPr>
          <w:bCs/>
          <w:kern w:val="0"/>
          <w:szCs w:val="28"/>
          <w:lang w:val="uz-Cyrl-UZ"/>
        </w:rPr>
        <w:t xml:space="preserve">инвестиционной деятельности в сельскохозяйственном секторе </w:t>
      </w:r>
      <w:bookmarkStart w:id="5" w:name="_Hlk85717083"/>
    </w:p>
    <w:p w:rsidR="0075212B" w:rsidRPr="00DF774B" w:rsidRDefault="0075212B" w:rsidP="0075212B">
      <w:pPr>
        <w:tabs>
          <w:tab w:val="left" w:pos="2552"/>
        </w:tabs>
        <w:spacing w:after="0" w:line="276" w:lineRule="auto"/>
        <w:jc w:val="both"/>
        <w:rPr>
          <w:b/>
          <w:kern w:val="0"/>
          <w:szCs w:val="28"/>
          <w:lang w:val="ru-RU"/>
        </w:rPr>
      </w:pPr>
      <w:bookmarkStart w:id="6" w:name="_Hlk208777915"/>
      <w:bookmarkEnd w:id="5"/>
      <w:r w:rsidRPr="004A0FD9">
        <w:rPr>
          <w:b/>
          <w:kern w:val="0"/>
          <w:szCs w:val="28"/>
          <w:lang w:val="uz-Cyrl-UZ"/>
        </w:rPr>
        <w:t xml:space="preserve">ГЛАВА III. НАПРАВЛЕНИЯ ПОВЫШЕНИЯ ПРИВЛЕЧЕНИЯ ИНВЕСТИЦИЙ В СЕЛЬСКОХОЗЯЙСТВЕННЫЙ СЕКТОР </w:t>
      </w:r>
      <w:r w:rsidR="00D61290" w:rsidRPr="00DF774B">
        <w:rPr>
          <w:b/>
          <w:kern w:val="0"/>
          <w:szCs w:val="28"/>
          <w:lang w:val="ru-RU"/>
        </w:rPr>
        <w:t>................</w:t>
      </w:r>
    </w:p>
    <w:p w:rsidR="0075212B" w:rsidRPr="00DF774B" w:rsidRDefault="0075212B" w:rsidP="0075212B">
      <w:pPr>
        <w:spacing w:after="0" w:line="276" w:lineRule="auto"/>
        <w:jc w:val="both"/>
        <w:rPr>
          <w:bCs/>
          <w:kern w:val="0"/>
          <w:szCs w:val="28"/>
          <w:lang w:val="ru-RU"/>
        </w:rPr>
      </w:pPr>
      <w:r w:rsidRPr="004A0FD9">
        <w:rPr>
          <w:bCs/>
          <w:kern w:val="0"/>
          <w:szCs w:val="28"/>
          <w:lang w:val="uz-Cyrl-UZ"/>
        </w:rPr>
        <w:t>§ 3.1 Существующие проблемы привлечения инвестиций в сельскохозяйственный сектор и пути их преодоления</w:t>
      </w:r>
      <w:bookmarkEnd w:id="6"/>
    </w:p>
    <w:p w:rsidR="0075212B" w:rsidRPr="00DF774B" w:rsidRDefault="00D61290" w:rsidP="00DF774B">
      <w:pPr>
        <w:spacing w:after="0" w:line="276" w:lineRule="auto"/>
        <w:jc w:val="both"/>
        <w:rPr>
          <w:bCs/>
          <w:kern w:val="0"/>
          <w:szCs w:val="28"/>
          <w:lang w:val="ru-RU"/>
        </w:rPr>
      </w:pPr>
      <w:r w:rsidRPr="00DF774B">
        <w:rPr>
          <w:kern w:val="0"/>
          <w:szCs w:val="28"/>
          <w:lang w:val="ru-RU"/>
        </w:rPr>
        <w:t xml:space="preserve">§ </w:t>
      </w:r>
      <w:r w:rsidR="0075212B" w:rsidRPr="004A0FD9">
        <w:rPr>
          <w:bCs/>
          <w:kern w:val="0"/>
          <w:szCs w:val="28"/>
          <w:lang w:val="uz-Cyrl-UZ"/>
        </w:rPr>
        <w:t xml:space="preserve">3.2 Направления развития инвестиций в сельскохозяйственный сектор </w:t>
      </w:r>
    </w:p>
    <w:p w:rsidR="0075212B" w:rsidRPr="004A0FD9" w:rsidRDefault="0079280C" w:rsidP="0075212B">
      <w:pPr>
        <w:spacing w:after="0" w:line="276" w:lineRule="auto"/>
        <w:jc w:val="both"/>
        <w:rPr>
          <w:b/>
          <w:kern w:val="0"/>
          <w:szCs w:val="28"/>
          <w:lang w:val="uz-Cyrl-UZ"/>
        </w:rPr>
      </w:pPr>
      <w:r>
        <w:rPr>
          <w:b/>
          <w:kern w:val="0"/>
          <w:szCs w:val="28"/>
          <w:lang w:val="uz-Cyrl-UZ"/>
        </w:rPr>
        <w:t xml:space="preserve">ЗАКЛЮЧЕНИЕ </w:t>
      </w:r>
      <w:r w:rsidR="0075212B" w:rsidRPr="004A0FD9">
        <w:rPr>
          <w:kern w:val="0"/>
          <w:szCs w:val="28"/>
          <w:lang w:val="uz-Cyrl-UZ"/>
        </w:rPr>
        <w:t xml:space="preserve">................................................................................................................ </w:t>
      </w:r>
      <w:r w:rsidR="0075212B" w:rsidRPr="00DF774B">
        <w:rPr>
          <w:kern w:val="0"/>
          <w:szCs w:val="28"/>
          <w:lang w:val="ru-RU"/>
        </w:rPr>
        <w:t xml:space="preserve">.. </w:t>
      </w:r>
      <w:r w:rsidR="0075212B" w:rsidRPr="004A0FD9">
        <w:rPr>
          <w:kern w:val="0"/>
          <w:szCs w:val="28"/>
          <w:lang w:val="uz-Cyrl-UZ"/>
        </w:rPr>
        <w:t xml:space="preserve">............... </w:t>
      </w:r>
      <w:r w:rsidR="00D61290" w:rsidRPr="00DF774B">
        <w:rPr>
          <w:kern w:val="0"/>
          <w:szCs w:val="28"/>
          <w:lang w:val="ru-RU"/>
        </w:rPr>
        <w:t>.</w:t>
      </w:r>
      <w:r w:rsidR="0075212B" w:rsidRPr="004A0FD9">
        <w:rPr>
          <w:b/>
          <w:kern w:val="0"/>
          <w:szCs w:val="28"/>
          <w:lang w:val="uz-Cyrl-UZ"/>
        </w:rPr>
        <w:t xml:space="preserve"> </w:t>
      </w:r>
    </w:p>
    <w:p w:rsidR="0075212B" w:rsidRPr="00DF774B" w:rsidRDefault="0079280C" w:rsidP="0075212B">
      <w:pPr>
        <w:spacing w:after="0" w:line="276" w:lineRule="auto"/>
        <w:jc w:val="both"/>
        <w:rPr>
          <w:kern w:val="0"/>
          <w:szCs w:val="28"/>
          <w:lang w:val="ru-RU"/>
        </w:rPr>
      </w:pPr>
      <w:r>
        <w:rPr>
          <w:b/>
          <w:kern w:val="0"/>
          <w:szCs w:val="28"/>
          <w:lang w:val="uz-Cyrl-UZ"/>
        </w:rPr>
        <w:t xml:space="preserve">СПИСОК ИСПОЛЬЗОВАННЫХ ЛИТЕРАТУРНЫХ </w:t>
      </w:r>
      <w:r w:rsidR="0012517D" w:rsidRPr="00DF774B">
        <w:rPr>
          <w:b/>
          <w:kern w:val="0"/>
          <w:szCs w:val="28"/>
          <w:lang w:val="ru-RU"/>
        </w:rPr>
        <w:t>ИМЕН</w:t>
      </w:r>
      <w:r w:rsidR="0075212B" w:rsidRPr="00DF774B">
        <w:rPr>
          <w:kern w:val="0"/>
          <w:szCs w:val="28"/>
          <w:lang w:val="ru-RU"/>
        </w:rPr>
        <w:t xml:space="preserve">.. </w:t>
      </w:r>
      <w:r w:rsidR="0075212B" w:rsidRPr="004A0FD9">
        <w:rPr>
          <w:kern w:val="0"/>
          <w:szCs w:val="28"/>
          <w:lang w:val="uz-Cyrl-UZ"/>
        </w:rPr>
        <w:t xml:space="preserve">................ </w:t>
      </w:r>
      <w:r w:rsidR="00D61290" w:rsidRPr="00DF774B">
        <w:rPr>
          <w:kern w:val="0"/>
          <w:szCs w:val="28"/>
          <w:lang w:val="ru-RU"/>
        </w:rPr>
        <w:t>.</w:t>
      </w:r>
    </w:p>
    <w:p w:rsidR="0075212B" w:rsidRPr="00DF774B" w:rsidRDefault="0075212B" w:rsidP="0075212B">
      <w:pPr>
        <w:spacing w:after="0"/>
        <w:ind w:firstLine="709"/>
        <w:jc w:val="both"/>
        <w:rPr>
          <w:rFonts w:ascii="Calibri" w:hAnsi="Calibri"/>
          <w:kern w:val="0"/>
          <w:sz w:val="22"/>
          <w:lang w:val="ru-RU"/>
        </w:rPr>
      </w:pPr>
    </w:p>
    <w:p w:rsidR="000F034F" w:rsidRPr="00DF774B" w:rsidRDefault="000F034F" w:rsidP="0075212B">
      <w:pPr>
        <w:spacing w:after="0"/>
        <w:ind w:firstLine="709"/>
        <w:jc w:val="both"/>
        <w:rPr>
          <w:rFonts w:ascii="Calibri" w:hAnsi="Calibri"/>
          <w:kern w:val="0"/>
          <w:sz w:val="22"/>
          <w:lang w:val="ru-RU"/>
        </w:rPr>
      </w:pPr>
    </w:p>
    <w:p w:rsidR="000F034F" w:rsidRPr="00DF774B" w:rsidRDefault="000F034F" w:rsidP="0075212B">
      <w:pPr>
        <w:spacing w:after="0"/>
        <w:ind w:firstLine="709"/>
        <w:jc w:val="both"/>
        <w:rPr>
          <w:rFonts w:ascii="Calibri" w:hAnsi="Calibri"/>
          <w:kern w:val="0"/>
          <w:sz w:val="22"/>
          <w:lang w:val="ru-RU"/>
        </w:rPr>
      </w:pPr>
    </w:p>
    <w:p w:rsidR="000F034F" w:rsidRPr="00DF774B" w:rsidRDefault="000F034F" w:rsidP="0075212B">
      <w:pPr>
        <w:spacing w:after="0"/>
        <w:ind w:firstLine="709"/>
        <w:jc w:val="both"/>
        <w:rPr>
          <w:rFonts w:ascii="Calibri" w:hAnsi="Calibri"/>
          <w:kern w:val="0"/>
          <w:sz w:val="22"/>
          <w:lang w:val="ru-RU"/>
        </w:rPr>
      </w:pPr>
    </w:p>
    <w:p w:rsidR="000F034F" w:rsidRPr="00DF774B" w:rsidRDefault="000F034F" w:rsidP="0075212B">
      <w:pPr>
        <w:spacing w:after="0"/>
        <w:ind w:firstLine="709"/>
        <w:jc w:val="both"/>
        <w:rPr>
          <w:rFonts w:ascii="Calibri" w:hAnsi="Calibri"/>
          <w:kern w:val="0"/>
          <w:sz w:val="22"/>
          <w:lang w:val="ru-RU"/>
        </w:rPr>
      </w:pPr>
    </w:p>
    <w:p w:rsidR="0075212B" w:rsidRDefault="0075212B" w:rsidP="0075212B">
      <w:pPr>
        <w:jc w:val="both"/>
        <w:rPr>
          <w:b/>
          <w:bCs/>
          <w:lang w:val="uz-Cyrl-UZ"/>
        </w:rPr>
      </w:pPr>
    </w:p>
    <w:p w:rsidR="00B9543B" w:rsidRDefault="00B9543B" w:rsidP="0075212B">
      <w:pPr>
        <w:jc w:val="both"/>
        <w:rPr>
          <w:b/>
          <w:bCs/>
          <w:lang w:val="uz-Cyrl-UZ"/>
        </w:rPr>
      </w:pPr>
    </w:p>
    <w:p w:rsidR="00F84C18" w:rsidRPr="00DF774B" w:rsidRDefault="00F84C18" w:rsidP="0075212B">
      <w:pPr>
        <w:jc w:val="both"/>
        <w:rPr>
          <w:b/>
          <w:bCs/>
          <w:lang w:val="ru-RU"/>
        </w:rPr>
      </w:pPr>
    </w:p>
    <w:p w:rsidR="00DF774B" w:rsidRDefault="00DF774B">
      <w:pPr>
        <w:spacing w:after="0"/>
        <w:rPr>
          <w:b/>
          <w:kern w:val="0"/>
          <w:szCs w:val="28"/>
          <w:lang w:val="ru-RU"/>
        </w:rPr>
      </w:pPr>
      <w:r>
        <w:rPr>
          <w:b/>
          <w:kern w:val="0"/>
          <w:szCs w:val="28"/>
          <w:lang w:val="ru-RU"/>
        </w:rPr>
        <w:br w:type="page"/>
      </w:r>
    </w:p>
    <w:p w:rsidR="007028FB" w:rsidRDefault="00DF774B" w:rsidP="00E83A9E">
      <w:pPr>
        <w:spacing w:after="0" w:line="360" w:lineRule="auto"/>
        <w:jc w:val="center"/>
        <w:rPr>
          <w:b/>
          <w:kern w:val="0"/>
          <w:szCs w:val="28"/>
          <w:lang w:val="ru-RU"/>
        </w:rPr>
      </w:pPr>
      <w:r>
        <w:rPr>
          <w:b/>
          <w:kern w:val="0"/>
          <w:szCs w:val="28"/>
          <w:lang w:val="uz-Cyrl-UZ"/>
        </w:rPr>
        <w:lastRenderedPageBreak/>
        <w:t xml:space="preserve">ВВЕДЕНИЕ </w:t>
      </w:r>
      <w:bookmarkStart w:id="7" w:name="_GoBack"/>
      <w:bookmarkEnd w:id="7"/>
    </w:p>
    <w:p w:rsidR="00DF774B" w:rsidRPr="00DF774B" w:rsidRDefault="00DF774B" w:rsidP="00DF774B">
      <w:pPr>
        <w:spacing w:after="0" w:line="360" w:lineRule="auto"/>
        <w:ind w:firstLine="567"/>
        <w:jc w:val="both"/>
        <w:rPr>
          <w:bCs/>
          <w:kern w:val="0"/>
          <w:szCs w:val="28"/>
          <w:lang w:val="ru-RU"/>
        </w:rPr>
      </w:pPr>
      <w:r w:rsidRPr="00DF774B">
        <w:rPr>
          <w:bCs/>
          <w:kern w:val="0"/>
          <w:szCs w:val="28"/>
          <w:lang w:val="ru-RU"/>
        </w:rPr>
        <w:t>В условиях современной социально-экономической трансформации приоритетное значение приобретают вопросы активизации инвестиционной деятельности, направленной на обеспечение устойчивого роста. Инвестиционная стратегия Республики Узбекистан основывается на принципах приоритетного развития высокотехнологичных отраслей, глубокой переработки сырьевых ресурсов и индустриализации регионов. В последние годы в стране реализуются более 500 крупных инвестиционных проектов в сфере агропромышленного комплекса, энергетики, текстильной и строительной промышленности. Особый акцент сделан на внедрение инновационных технологий, направленных на повышение производительности, снижение ресурсозатрат и расширение экспортного потенциала. При этом значительные средства направляются на развитие перерабатывающих мощностей, что способствует созданию замкнутых производственно-сбытовых цепочек.</w:t>
      </w:r>
    </w:p>
    <w:p w:rsidR="00DF774B" w:rsidRPr="00DF774B" w:rsidRDefault="00DF774B" w:rsidP="00DF774B">
      <w:pPr>
        <w:spacing w:after="0" w:line="360" w:lineRule="auto"/>
        <w:ind w:firstLine="567"/>
        <w:jc w:val="both"/>
        <w:rPr>
          <w:bCs/>
          <w:kern w:val="0"/>
          <w:szCs w:val="28"/>
          <w:lang w:val="ru-RU"/>
        </w:rPr>
      </w:pPr>
      <w:r w:rsidRPr="00DF774B">
        <w:rPr>
          <w:bCs/>
          <w:kern w:val="0"/>
          <w:szCs w:val="28"/>
          <w:lang w:val="ru-RU"/>
        </w:rPr>
        <w:t>Одной из важнейших задач рациональной инвестиционной политики является создание благоприятной институциональной среды для инвесторов. Государство активно реализует комплекс мер поддержки: предоставляются налоговые и таможенные льготы, субсидии, внедрены механизмы льготного кредитования и государственно-частного партнёрства. Так, в 2023 году общий объём инвестиций в основной капитал составил свыше 280 трлн сумов, из которых около 40% направлены на развитие производственной инфраструктуры. Эффективность таких вложений во многом определяется точностью предварительных технико-экономических расчётов, анализом рисков и прогнозированием макроэкономических показателей. Используемые в исследовании методы включают сравнительный и системный анализ, экономико-статистическое моделирование, а также оценку инвестиционной привлекательности на основе мультикритериального подхода.</w:t>
      </w:r>
    </w:p>
    <w:p w:rsidR="00DF774B" w:rsidRPr="00DF774B" w:rsidRDefault="00DF774B" w:rsidP="00DF774B">
      <w:pPr>
        <w:spacing w:after="0" w:line="360" w:lineRule="auto"/>
        <w:ind w:firstLine="567"/>
        <w:jc w:val="both"/>
        <w:rPr>
          <w:bCs/>
          <w:kern w:val="0"/>
          <w:szCs w:val="28"/>
          <w:lang w:val="ru-RU"/>
        </w:rPr>
      </w:pPr>
    </w:p>
    <w:p w:rsidR="00DF774B" w:rsidRPr="00DF774B" w:rsidRDefault="00DF774B" w:rsidP="00DF774B">
      <w:pPr>
        <w:spacing w:after="0" w:line="360" w:lineRule="auto"/>
        <w:ind w:firstLine="567"/>
        <w:jc w:val="both"/>
        <w:rPr>
          <w:bCs/>
          <w:kern w:val="0"/>
          <w:szCs w:val="28"/>
          <w:lang w:val="ru-RU"/>
        </w:rPr>
      </w:pP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lastRenderedPageBreak/>
        <w:t>Сельскохозяйственный сектор является одним из важнейших секторов экономики страны, играя важную роль в обеспечении населения продуктами питания, увеличении занятости в сельской местности и наращивании экспортного потенциала. В современных условиях устойчивое развитие этого сектора тесно связано с широким привлечением инвестиций, внедрением передовых технологий и повышением эффективности производства.</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Привлечение инвестиций в агросектор обеспечивает необходимые финансовые ресурсы для увеличения сельскохозяйственного производства, повышения качества продукции, развития перерабатывающей промышленности и формирования современной инфраструктуры. Одновременно с этим, привлечение местных и иностранных инвестиций способствует созданию новых рабочих мест, внедрению инновационных технологий и укреплению продовольственной безопасности страны.</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Сегодня одной из неотложных задач в агропромышленном секторе является улучшение инвестиционного климата, создание благоприятных условий для инвесторов, совершенствование механизмов государственной поддержки и расширение участия частного сектора. Реформы в этой области помогут повысить конкурентоспособность агропромышленного сектора, расширить экспортный потенциал и обеспечить экономический рост.</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Цель данной работы – изучение теоретических и практических основ привлечения инвестиций в агропромышленный сектор, анализ факторов, влияющих на инвестиционный процесс, и разработка предложений и рекомендаций по дальнейшему развитию этого сектора.</w:t>
      </w:r>
    </w:p>
    <w:p w:rsidR="007028FB" w:rsidRPr="00DF774B" w:rsidRDefault="007028FB" w:rsidP="00E83A9E">
      <w:pPr>
        <w:spacing w:after="0" w:line="360" w:lineRule="auto"/>
        <w:ind w:firstLine="567"/>
        <w:jc w:val="both"/>
        <w:rPr>
          <w:bCs/>
          <w:kern w:val="0"/>
          <w:szCs w:val="28"/>
          <w:lang w:val="ru-RU"/>
        </w:rPr>
      </w:pPr>
      <w:r w:rsidRPr="00DF774B">
        <w:rPr>
          <w:bCs/>
          <w:kern w:val="0"/>
          <w:szCs w:val="28"/>
          <w:lang w:val="ru-RU"/>
        </w:rPr>
        <w:t xml:space="preserve">В мировой практике сельскохозяйственный сектор занимает особое место как стратегический сектор экономики в глобальном масштабе. Многие страны добились не только продовольственной безопасности за счет развития сельского хозяйства, но и ускоренного экономического роста, увеличения занятости и роста экспортного потенциала. Например, такие страны, как Нидерланды, Израиль и Австралия, смогли превратить сельскохозяйственный сектор в источник высоких доходов благодаря передовым технологиям и </w:t>
      </w:r>
      <w:r w:rsidRPr="00DF774B">
        <w:rPr>
          <w:bCs/>
          <w:kern w:val="0"/>
          <w:szCs w:val="28"/>
          <w:lang w:val="ru-RU"/>
        </w:rPr>
        <w:lastRenderedPageBreak/>
        <w:t>высокоэффективному управлению. Прямые инвестиции в сектор и система государственно-частного партнерства указываются как один из главных факторов достижения таких успехов. По данным Всемирного банка, ФАО и других международных организаций, для удовлетворения мирового спроса на продовольствие к 2030 году потребуется ежегодно инвестировать в сельскохозяйственную инфраструктуру не менее 240–300 миллиардов долларов США. Эта потребность особенно остра в развивающихся странах, где такие факторы, как технологические недостатки, нехватка водных ресурсов и деградация земель, препятствуют повышению эффективности. В таких условиях инвестиции имеют особое значение не только как источник финансирования, но и как средство внедрения инноваций, знаний и передового опыта.</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Сегодня процессы глобализации, происходящие в мировой экономике, усиление конкуренции и растущий спрос на продукты питания делают вопрос устойчивого развития агропромышленного сектора одной из самых актуальных задач. Постоянный рост населения, изменение климата, ограниченность земельных и водных ресурсов, а также обострение экологических проблем требуют повышения эффективности производства в сельском хозяйстве, широкого внедрения современных технологий и стимулирования инвестиционной активности. В этой связи привлечение инвестиций в агропромышленный сектор является не только важным фактором экономического развития, но и одним из главных условий обеспечения продовольственной безопасности страны, расширения экспортного потенциала и повышения уровня жизни сельского населения.</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 xml:space="preserve">Сельскохозяйственный сектор, как один из стратегических секторов экономики любого государства, играет важную роль в формировании валового внутреннего продукта, бесперебойном снабжении населения продовольствием, обеспечении сырьем промышленных предприятий и создании новых рабочих мест. В частности, несравнимое значение имеют инвестиции в выращивание, переработку, хранение и развитие логистической </w:t>
      </w:r>
      <w:r w:rsidRPr="00DF774B">
        <w:rPr>
          <w:bCs/>
          <w:kern w:val="0"/>
          <w:szCs w:val="28"/>
          <w:lang w:val="ru-RU"/>
        </w:rPr>
        <w:lastRenderedPageBreak/>
        <w:t>системы сельскохозяйственной продукции. В условиях отсутствия привлечения достаточных инвестиций технико-технологический уровень производства остается низким, возможности эффективного использования ресурсов ограничены, а конкурентоспособность продукции на международном рынке снижается.</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Сегодня во многих странах мира особое внимание уделяется широкому привлечению государственных и частных инвестиций, созданию благоприятной инвестиционной среды для иностранных инвесторов, внедрению инновационных технологий и развитию цифрового сельского хозяйства как одному из главных факторов развития агропромышленного сектора. Этот опыт показывает, что инвестиции не только увеличивают объемы производства, но и повышают производительность труда, снижают себестоимость продукции, расширяют экспорт и выводят сельское хозяйство на современный уровень развития.</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В нашей стране проводятся масштабные реформы, направленные на радикальную модернизацию агропромышленного сектора, внедрение инновационных технологий в производство, рациональное использование водных и земельных ресурсов, развитие глубокой переработки продукции и расширение производства экспортно-ориентированной продукции. Важным источником финансирования в этих процессах являются инвестиции. В частности, за счет местных и иностранных инвестиций строятся современные теплицы, интенсивные сады, животноводческие и птицеводческие комплексы, перерабатывающие предприятия, холодильные склады и логистические центры. В результате повышается эффективность производства и увеличивается добавленная стоимость сельскохозяйственной продукции.</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 xml:space="preserve">В то же время, в процессе привлечения инвестиций в агропромышленный сектор существуют определенные проблемы. В частности, высокие инвестиционные риски, зависимость от климатических факторов, нехватка финансовых ресурсов, ограниченный доступ к кредитным средствам, недостаточное развитие инфраструктуры в некоторых регионах и недостатки </w:t>
      </w:r>
      <w:r w:rsidRPr="00DF774B">
        <w:rPr>
          <w:bCs/>
          <w:kern w:val="0"/>
          <w:szCs w:val="28"/>
          <w:lang w:val="ru-RU"/>
        </w:rPr>
        <w:lastRenderedPageBreak/>
        <w:t>в системе управления инвестиционными проектами негативно влияют на инвестиционную привлекательность этого сектора. Для устранения этих проблем необходимо улучшить инвестиционную политику, развивать государственно-частное партнерство, создавать дополнительные льготы и гарантии для инвесторов, а также внедрять современные механизмы управления.</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Эффективность привлечения инвестиций в агросектор является одним из важных показателей экономического развития страны. Благодаря инвестициям расширяются производственные мощности, модернизируется сельскохозяйственная техника, внедряются водосберегающие технологии, применяются научные достижения в производстве, расширяются возможности обеспечения экологической устойчивости. Кроме того, инвестиции оказывают значительное влияние на увеличение занятости в сельской местности, рост доходов, сокращение бедности и комплексное развитие регионов.</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Актуальность данного курса объясняется необходимостью модернизации сельскохозяйственного сектора, повышения его инвестиционной привлекательности и совершенствования эффективных механизмов управления инвестициями. Кроме того, разработка научно обоснованных предложений и рекомендаций по развитию инвестиционной деятельности в сельскохозяйственном секторе имеет сегодня большое научное и практическое значение.</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Цель исследования – изучение теоретических основ привлечения инвестиций в аграрный сектор, анализ текущего состояния инвестиционных процессов, а также разработка научно-практических предложений и рекомендаций по повышению инвестиционной активности в этой области.</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Цели исследования:</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изучить теоретические и правовые основы привлечения инвестиций в сельскохозяйственный сектор;</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lastRenderedPageBreak/>
        <w:t>анализ экономической значимости инвестиций в сельскохозяйственный сектор;</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оценка внутренних и внешних факторов, влияющих на инвестиционную деятельность;</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Проанализировать состояние привлечения местных и иностранных инвестиций в сельскохозяйственный сектор;</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Разработать предложения и рекомендации по улучшению инвестиционного климата и повышению эффективности инвестиций.</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Объектом исследования является инвестиционная деятельность и инвестиционные процессы в сельскохозяйственном секторе.</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Предметом исследования являются экономические отношения, возникающие в процессе привлечения инвестиций в аграрный сектор, и механизмы их эффективной организации.</w:t>
      </w:r>
    </w:p>
    <w:p w:rsidR="00E46DF0" w:rsidRPr="00DF774B" w:rsidRDefault="00E46DF0" w:rsidP="00E46DF0">
      <w:pPr>
        <w:spacing w:after="0" w:line="360" w:lineRule="auto"/>
        <w:ind w:firstLine="567"/>
        <w:jc w:val="both"/>
        <w:rPr>
          <w:bCs/>
          <w:kern w:val="0"/>
          <w:szCs w:val="28"/>
          <w:lang w:val="ru-RU"/>
        </w:rPr>
      </w:pPr>
      <w:r w:rsidRPr="00DF774B">
        <w:rPr>
          <w:bCs/>
          <w:kern w:val="0"/>
          <w:szCs w:val="28"/>
          <w:lang w:val="ru-RU"/>
        </w:rPr>
        <w:t>Теоретической и методологической основой исследования послужили научные работы отечественных и зарубежных ученых по инвестициям и аграрной экономике, экономическим теориям, методам экономического анализа, статистическим данным, сравнительному анализу, систематическому подходу, экономико-математическому анализу и методам обобщения.</w:t>
      </w:r>
    </w:p>
    <w:p w:rsidR="007028FB" w:rsidRPr="007028FB" w:rsidRDefault="007028FB" w:rsidP="00E83A9E">
      <w:pPr>
        <w:widowControl w:val="0"/>
        <w:autoSpaceDE w:val="0"/>
        <w:autoSpaceDN w:val="0"/>
        <w:spacing w:after="0" w:line="360" w:lineRule="auto"/>
        <w:ind w:firstLine="567"/>
        <w:jc w:val="both"/>
        <w:rPr>
          <w:rFonts w:eastAsia="Times New Roman"/>
          <w:kern w:val="0"/>
          <w:szCs w:val="28"/>
          <w:lang w:val="uz-Cyrl-UZ"/>
        </w:rPr>
      </w:pPr>
      <w:r w:rsidRPr="007028FB">
        <w:rPr>
          <w:rFonts w:eastAsia="Times New Roman"/>
          <w:b/>
          <w:bCs/>
          <w:kern w:val="0"/>
          <w:szCs w:val="28"/>
          <w:lang w:val="uz-Cyrl-UZ"/>
        </w:rPr>
        <w:t xml:space="preserve">Уровень изучения проблемы. </w:t>
      </w:r>
      <w:r w:rsidRPr="007028FB">
        <w:rPr>
          <w:rFonts w:eastAsia="Times New Roman"/>
          <w:kern w:val="0"/>
          <w:szCs w:val="28"/>
          <w:lang w:val="uz-Cyrl-UZ"/>
        </w:rPr>
        <w:t xml:space="preserve">Некоторые аспекты привлечения инвестиций в агропромышленный сектор и совершенствования механизмов финансовой поддержки инвестиционных проектов в этом секторе были изучены рядом зарубежных экономистов и ученых. В частности, исследовательская работа таких зарубежных экономистов и ученых, как С. Огарков, П. Брусов, Т. Филатова, Н. Орехова, Ж. Моисеенко, А. Панин, И. Ушачев, В. Маслакова, В. Демичев, Т. Расулов, И. Исаков, А. Козлов, Н. Зарук, А. Кулов, Т. Кибизов, Р. Мустафаева, Н. Харитонов, С. Яшин, Н. Яшина, Е. Кошелев, Л. Кудрявцева, Е. Марковская, И. Крутова и др. рассматривают вопросы привлечения инвестиций в сельское хозяйство, сферы государственной поддержки агропредприятий, модернизации сельскохозяйственного производства, проблемы развития инвестиций </w:t>
      </w:r>
      <w:r w:rsidRPr="007028FB">
        <w:rPr>
          <w:rFonts w:eastAsia="Times New Roman"/>
          <w:kern w:val="0"/>
          <w:szCs w:val="28"/>
          <w:lang w:val="bg-BG"/>
        </w:rPr>
        <w:t xml:space="preserve">в </w:t>
      </w:r>
      <w:r w:rsidRPr="007028FB">
        <w:rPr>
          <w:rFonts w:eastAsia="Times New Roman"/>
          <w:kern w:val="0"/>
          <w:szCs w:val="28"/>
          <w:lang w:val="bg-BG"/>
        </w:rPr>
        <w:lastRenderedPageBreak/>
        <w:t xml:space="preserve">агропромышленный комплекс </w:t>
      </w:r>
      <w:r w:rsidRPr="007028FB">
        <w:rPr>
          <w:rFonts w:eastAsia="Times New Roman"/>
          <w:kern w:val="0"/>
          <w:szCs w:val="28"/>
          <w:lang w:val="uz-Cyrl-UZ"/>
        </w:rPr>
        <w:t xml:space="preserve">, повышения эффективности инвестиций в сельское хозяйство, привлечения иностранных инвестиций в развитие сельского хозяйства, государственного регулирования инвестиционной деятельности в агросекторе. Проанализированы вопросы, связанные с совершенствованием механизма финансирования инвестиционной деятельности, современные тенденции в инвестициях в сельское хозяйство, инвестиционные методы и организация финансирования инвестиционных проектов </w:t>
      </w:r>
      <w:r w:rsidRPr="007028FB">
        <w:rPr>
          <w:rFonts w:eastAsia="Times New Roman"/>
          <w:kern w:val="0"/>
          <w:szCs w:val="28"/>
          <w:vertAlign w:val="superscript"/>
          <w:lang w:val="uz-Cyrl-UZ"/>
        </w:rPr>
        <w:footnoteReference w:id="1"/>
      </w:r>
      <w:r w:rsidRPr="007028FB">
        <w:rPr>
          <w:rFonts w:eastAsia="Times New Roman"/>
          <w:kern w:val="0"/>
          <w:szCs w:val="28"/>
          <w:lang w:val="uz-Cyrl-UZ"/>
        </w:rPr>
        <w:t>.</w:t>
      </w:r>
    </w:p>
    <w:p w:rsidR="007028FB" w:rsidRPr="007028FB" w:rsidRDefault="007028FB" w:rsidP="00E83A9E">
      <w:pPr>
        <w:widowControl w:val="0"/>
        <w:tabs>
          <w:tab w:val="left" w:pos="567"/>
          <w:tab w:val="left" w:pos="709"/>
          <w:tab w:val="left" w:pos="900"/>
        </w:tabs>
        <w:spacing w:after="0" w:line="360" w:lineRule="auto"/>
        <w:ind w:firstLine="567"/>
        <w:jc w:val="both"/>
        <w:rPr>
          <w:bCs/>
          <w:kern w:val="0"/>
          <w:szCs w:val="28"/>
          <w:lang w:val="uz-Cyrl-UZ"/>
        </w:rPr>
      </w:pPr>
      <w:r w:rsidRPr="00DF774B">
        <w:rPr>
          <w:b/>
          <w:kern w:val="0"/>
          <w:szCs w:val="28"/>
          <w:lang w:val="ru-RU"/>
        </w:rPr>
        <w:t xml:space="preserve">Научно-практическое значение результатов исследования. </w:t>
      </w:r>
      <w:r w:rsidRPr="007028FB">
        <w:rPr>
          <w:bCs/>
          <w:kern w:val="0"/>
          <w:szCs w:val="28"/>
          <w:lang w:val="uz-Cyrl-UZ"/>
        </w:rPr>
        <w:t>Научная значимость результатов исследования объясняется тем, что разработанные на их основе научные выводы, предложения и рекомендации могут быть использованы для повышения инвестиционной привлекательности сельскохозяйственного сектора и научных исследований.</w:t>
      </w:r>
    </w:p>
    <w:p w:rsidR="007028FB" w:rsidRPr="007028FB" w:rsidRDefault="007028FB" w:rsidP="00E83A9E">
      <w:pPr>
        <w:widowControl w:val="0"/>
        <w:tabs>
          <w:tab w:val="left" w:pos="567"/>
          <w:tab w:val="left" w:pos="709"/>
          <w:tab w:val="left" w:pos="900"/>
        </w:tabs>
        <w:spacing w:after="0" w:line="360" w:lineRule="auto"/>
        <w:ind w:firstLine="567"/>
        <w:jc w:val="both"/>
        <w:rPr>
          <w:bCs/>
          <w:kern w:val="0"/>
          <w:szCs w:val="28"/>
          <w:lang w:val="uz-Cyrl-UZ"/>
        </w:rPr>
      </w:pPr>
      <w:r w:rsidRPr="007028FB">
        <w:rPr>
          <w:bCs/>
          <w:kern w:val="0"/>
          <w:szCs w:val="28"/>
          <w:lang w:val="uz-Cyrl-UZ"/>
        </w:rPr>
        <w:t xml:space="preserve">Практическая значимость результатов исследований определяется их </w:t>
      </w:r>
      <w:r w:rsidRPr="007028FB">
        <w:rPr>
          <w:bCs/>
          <w:kern w:val="0"/>
          <w:szCs w:val="28"/>
          <w:lang w:val="uz-Cyrl-UZ"/>
        </w:rPr>
        <w:lastRenderedPageBreak/>
        <w:t>применением в эффективной реализации задач, поставленных в приоритетных направлениях стратегии развития сельского хозяйства страны на 2020-2030 годы, в разработке и совершенствовании механизма использования финансовых инструментов, направленных на поддержку и обеспечение интенсивного производства в агропромышленном секторе, а также в совершенствовании и преподавании учебных программ в высших учебных заведениях по дисциплинам «Финансирование инвестиционных проектов» и «Экономика агропромышленного комплекса».</w:t>
      </w:r>
    </w:p>
    <w:p w:rsidR="007028FB" w:rsidRPr="00E46DF0" w:rsidRDefault="007028FB" w:rsidP="00454597">
      <w:pPr>
        <w:shd w:val="clear" w:color="auto" w:fill="FFFFFF"/>
        <w:spacing w:after="0" w:line="360" w:lineRule="auto"/>
        <w:ind w:firstLineChars="202" w:firstLine="568"/>
        <w:jc w:val="both"/>
        <w:rPr>
          <w:bCs/>
          <w:kern w:val="0"/>
          <w:szCs w:val="28"/>
          <w:lang w:val="uz-Cyrl-UZ"/>
        </w:rPr>
      </w:pPr>
      <w:r w:rsidRPr="007028FB">
        <w:rPr>
          <w:b/>
          <w:kern w:val="0"/>
          <w:szCs w:val="28"/>
          <w:lang w:val="uz-Cyrl-UZ"/>
        </w:rPr>
        <w:t xml:space="preserve">Структура и объем </w:t>
      </w:r>
      <w:r w:rsidR="00E46DF0" w:rsidRPr="00DF774B">
        <w:rPr>
          <w:b/>
          <w:kern w:val="0"/>
          <w:szCs w:val="28"/>
          <w:lang w:val="ru-RU"/>
        </w:rPr>
        <w:t xml:space="preserve">магистерской диссертации. </w:t>
      </w:r>
      <w:r w:rsidRPr="00DF774B">
        <w:rPr>
          <w:bCs/>
          <w:kern w:val="0"/>
          <w:szCs w:val="28"/>
          <w:lang w:val="ru-RU"/>
        </w:rPr>
        <w:t xml:space="preserve">Магистерская диссертация </w:t>
      </w:r>
      <w:r w:rsidR="00E46DF0" w:rsidRPr="00DF774B">
        <w:rPr>
          <w:kern w:val="0"/>
          <w:szCs w:val="28"/>
          <w:lang w:val="ru-RU"/>
        </w:rPr>
        <w:t xml:space="preserve">состоит </w:t>
      </w:r>
      <w:r w:rsidRPr="00E46DF0">
        <w:rPr>
          <w:bCs/>
          <w:kern w:val="0"/>
          <w:szCs w:val="28"/>
          <w:lang w:val="uz-Cyrl-UZ"/>
        </w:rPr>
        <w:t>из введения, трех глав, заключения и списка литературы.</w:t>
      </w:r>
    </w:p>
    <w:p w:rsidR="00E25EAB" w:rsidRDefault="00E25EAB" w:rsidP="00454597">
      <w:pPr>
        <w:shd w:val="clear" w:color="auto" w:fill="FFFFFF"/>
        <w:spacing w:after="0" w:line="360" w:lineRule="auto"/>
        <w:ind w:firstLineChars="202" w:firstLine="566"/>
        <w:jc w:val="both"/>
        <w:rPr>
          <w:bCs/>
          <w:kern w:val="0"/>
          <w:szCs w:val="28"/>
          <w:lang w:val="uz-Cyrl-UZ"/>
        </w:rPr>
      </w:pPr>
    </w:p>
    <w:p w:rsidR="00E25EAB" w:rsidRDefault="00E25EAB" w:rsidP="00454597">
      <w:pPr>
        <w:shd w:val="clear" w:color="auto" w:fill="FFFFFF"/>
        <w:spacing w:after="0" w:line="360" w:lineRule="auto"/>
        <w:ind w:firstLineChars="202" w:firstLine="566"/>
        <w:jc w:val="both"/>
        <w:rPr>
          <w:bCs/>
          <w:kern w:val="0"/>
          <w:szCs w:val="28"/>
          <w:lang w:val="uz-Cyrl-UZ"/>
        </w:rPr>
      </w:pPr>
    </w:p>
    <w:p w:rsidR="00E25EAB" w:rsidRDefault="00E25EAB" w:rsidP="00454597">
      <w:pPr>
        <w:shd w:val="clear" w:color="auto" w:fill="FFFFFF"/>
        <w:spacing w:after="0" w:line="360" w:lineRule="auto"/>
        <w:ind w:firstLineChars="202" w:firstLine="566"/>
        <w:jc w:val="both"/>
        <w:rPr>
          <w:bCs/>
          <w:kern w:val="0"/>
          <w:szCs w:val="28"/>
          <w:lang w:val="uz-Cyrl-UZ"/>
        </w:rPr>
      </w:pPr>
    </w:p>
    <w:p w:rsidR="00F84C18" w:rsidRPr="00DF774B" w:rsidRDefault="00F84C18" w:rsidP="00F84C18">
      <w:pPr>
        <w:spacing w:after="0" w:line="360" w:lineRule="auto"/>
        <w:jc w:val="center"/>
        <w:rPr>
          <w:b/>
          <w:kern w:val="0"/>
          <w:szCs w:val="28"/>
          <w:lang w:val="ru-RU"/>
        </w:rPr>
      </w:pPr>
      <w:r w:rsidRPr="004A0FD9">
        <w:rPr>
          <w:b/>
          <w:kern w:val="0"/>
          <w:szCs w:val="28"/>
          <w:lang w:val="uz-Cyrl-UZ"/>
        </w:rPr>
        <w:t xml:space="preserve">I. </w:t>
      </w:r>
      <w:r w:rsidR="0079280C">
        <w:rPr>
          <w:b/>
          <w:kern w:val="0"/>
          <w:szCs w:val="28"/>
          <w:lang w:val="uz-Cyrl-UZ"/>
        </w:rPr>
        <w:t>НАУЧНЫЕ И ТЕОРЕТИЧЕСКИЕ ОСНОВЫ ПРИВЛЕЧЕНИЯ ИНВЕСТИЦИЙ В СЕЛЬСКОХОЗЯЙСТВЕННЫЙ СЕКТОР</w:t>
      </w:r>
    </w:p>
    <w:p w:rsidR="00F84C18" w:rsidRPr="00F84C18" w:rsidRDefault="00F84C18" w:rsidP="00F84C18">
      <w:pPr>
        <w:spacing w:line="360" w:lineRule="auto"/>
        <w:jc w:val="center"/>
        <w:rPr>
          <w:b/>
          <w:lang w:val="uz-Cyrl-UZ"/>
        </w:rPr>
      </w:pPr>
      <w:r w:rsidRPr="00F84C18">
        <w:rPr>
          <w:b/>
          <w:kern w:val="0"/>
          <w:szCs w:val="28"/>
          <w:lang w:val="uz-Cyrl-UZ"/>
        </w:rPr>
        <w:t>§ 1.1 Сущность и научно-теоретические взгляды на привлечение инвестиций в аграрный сектор</w:t>
      </w:r>
    </w:p>
    <w:p w:rsidR="00E25EAB" w:rsidRPr="00E25EAB" w:rsidRDefault="00A815A6" w:rsidP="00E25EAB">
      <w:pPr>
        <w:spacing w:after="0" w:line="360" w:lineRule="auto"/>
        <w:ind w:firstLine="708"/>
        <w:jc w:val="both"/>
        <w:rPr>
          <w:bCs/>
          <w:szCs w:val="28"/>
          <w:shd w:val="clear" w:color="auto" w:fill="FFFFFF"/>
          <w:lang w:val="uz-Cyrl-UZ"/>
        </w:rPr>
      </w:pPr>
      <w:r>
        <w:rPr>
          <w:szCs w:val="28"/>
          <w:lang w:val="uz-Cyrl-UZ"/>
        </w:rPr>
        <w:t xml:space="preserve">По мнению А.Н. Антипенко, кредиты становятся важным источником финансирования деятельности многих сельскохозяйственных производителей. Специфика кредитования агропромышленного сектора связана с сезонностью производства. В настоящее время коммерческие банки не проявляют особого интереса к кредитованию агропредприятий из-за низкого уровня самообеспеченности производства и невозможности обеспечить имущество в качестве залога. Это, в свою очередь, оказывает существенное влияние на деятельность агропроизводителей в условиях нестабильных макроэкономических изменений, а ограниченная доступность финансовых ресурсов приводит к снижению эффективности производства. Для обеспечения развития и устойчивости агропредприятий необходимо </w:t>
      </w:r>
      <w:r>
        <w:rPr>
          <w:szCs w:val="28"/>
          <w:lang w:val="uz-Cyrl-UZ"/>
        </w:rPr>
        <w:lastRenderedPageBreak/>
        <w:t xml:space="preserve">совершенствовать банковскую кредитную систему </w:t>
      </w:r>
      <w:r>
        <w:rPr>
          <w:rStyle w:val="af0"/>
          <w:lang w:val="uz-Cyrl-UZ"/>
        </w:rPr>
        <w:footnoteReference w:id="2"/>
      </w:r>
      <w:r w:rsidRPr="004D797E">
        <w:rPr>
          <w:szCs w:val="28"/>
          <w:lang w:val="uz-Cyrl-UZ"/>
        </w:rPr>
        <w:t xml:space="preserve">. </w:t>
      </w:r>
      <w:r w:rsidR="00E25EAB" w:rsidRPr="00E25EAB">
        <w:rPr>
          <w:bCs/>
          <w:szCs w:val="28"/>
          <w:shd w:val="clear" w:color="auto" w:fill="FFFFFF"/>
          <w:lang w:val="uz-Cyrl-UZ"/>
        </w:rPr>
        <w:t>На наш взгляд, многие сельские власти предоставляют кредиты сельским жителям по методу залогового обеспечения. При этом используются альтернативные формы залога (например, страховые облигации, залоговые продукты).</w:t>
      </w:r>
    </w:p>
    <w:p w:rsidR="0079280C" w:rsidRPr="00FA07D7" w:rsidRDefault="00E25EAB" w:rsidP="00E25EAB">
      <w:pPr>
        <w:spacing w:after="0" w:line="360" w:lineRule="auto"/>
        <w:ind w:firstLine="708"/>
        <w:jc w:val="both"/>
        <w:rPr>
          <w:szCs w:val="28"/>
          <w:lang w:val="uz-Cyrl-UZ"/>
        </w:rPr>
      </w:pPr>
      <w:r w:rsidRPr="00E25EAB">
        <w:rPr>
          <w:bCs/>
          <w:szCs w:val="28"/>
          <w:shd w:val="clear" w:color="auto" w:fill="FFFFFF"/>
          <w:lang w:val="uz-Cyrl-UZ"/>
        </w:rPr>
        <w:t xml:space="preserve">Г.П. Захарова в своих научных работах описала развитие агрокомплекса, которому уделяется серьезное внимание во всех странах мира. В России основным механизмом стимулирования стал механизм субсидирования процентных ставок по кредитам, на который приходится около 80% финансовых ресурсов государства. Банки имеют право выдавать краткосрочные и инвестиционные кредиты сельскохозяйственным производителям, переработчикам и инвесторам в недвижимость в размере 5% от общей суммы, а при федеральном банке создано кредитное учреждение, которое может покрывать сумму ставки </w:t>
      </w:r>
      <w:r w:rsidR="00A815A6" w:rsidRPr="00A815A6">
        <w:rPr>
          <w:rStyle w:val="af0"/>
          <w:szCs w:val="28"/>
          <w:lang w:val="uz-Cyrl-UZ"/>
        </w:rPr>
        <w:footnoteReference w:id="3"/>
      </w:r>
      <w:r w:rsidR="00A815A6" w:rsidRPr="00A815A6">
        <w:rPr>
          <w:szCs w:val="28"/>
          <w:lang w:val="uz-Cyrl-UZ"/>
        </w:rPr>
        <w:t xml:space="preserve">. </w:t>
      </w:r>
      <w:r w:rsidR="00A815A6" w:rsidRPr="00A815A6">
        <w:rPr>
          <w:bCs/>
          <w:szCs w:val="28"/>
          <w:shd w:val="clear" w:color="auto" w:fill="FFFFFF"/>
          <w:lang w:val="uz-Cyrl-UZ"/>
        </w:rPr>
        <w:t>По нашему мнению,</w:t>
      </w:r>
      <w:r w:rsidR="00E7126A" w:rsidRPr="00E7126A">
        <w:rPr>
          <w:lang w:val="uz-Cyrl-UZ"/>
        </w:rPr>
        <w:t xml:space="preserve"> </w:t>
      </w:r>
      <w:r w:rsidR="00E7126A" w:rsidRPr="00E7126A">
        <w:rPr>
          <w:bCs/>
          <w:szCs w:val="28"/>
          <w:shd w:val="clear" w:color="auto" w:fill="FFFFFF"/>
          <w:lang w:val="uz-Cyrl-UZ"/>
        </w:rPr>
        <w:t>Покрытие государством определенной части процентных ставок, уплачиваемых заемщиками, делает кредитование сельскохозяйственного сектора более привлекательным для банков, а производители получают доступ к более дешевым кредитам.</w:t>
      </w:r>
    </w:p>
    <w:p w:rsidR="0079280C" w:rsidRPr="0079280C" w:rsidRDefault="0079280C" w:rsidP="00F84C18">
      <w:pPr>
        <w:spacing w:after="0" w:line="360" w:lineRule="auto"/>
        <w:ind w:firstLine="709"/>
        <w:jc w:val="both"/>
        <w:rPr>
          <w:bCs/>
          <w:kern w:val="0"/>
          <w:szCs w:val="28"/>
          <w:shd w:val="clear" w:color="auto" w:fill="FFFFFF"/>
          <w:lang w:val="uz-Cyrl-UZ"/>
        </w:rPr>
      </w:pPr>
      <w:r w:rsidRPr="0079280C">
        <w:rPr>
          <w:bCs/>
          <w:kern w:val="0"/>
          <w:szCs w:val="28"/>
          <w:lang w:val="uz-Cyrl-UZ"/>
        </w:rPr>
        <w:t xml:space="preserve">мнению экономистов </w:t>
      </w:r>
      <w:r w:rsidRPr="0079280C">
        <w:rPr>
          <w:bCs/>
          <w:kern w:val="0"/>
          <w:szCs w:val="28"/>
          <w:shd w:val="clear" w:color="auto" w:fill="FFFFFF"/>
          <w:lang w:val="uz-Cyrl-UZ"/>
        </w:rPr>
        <w:t xml:space="preserve">М. Донкта, Ф. Чана и А. Сильвестрини, «иностранные инвестиции в аграрный сектор интенсивно развивают производство сельскохозяйственной продукции (услуг) и повышают производительность труда. В большинстве развивающихся стран средства к существованию домохозяйств зависят от аграрного сектора, а их благополучие напрямую зависит от эффективного использования имеющихся в их распоряжении ресурсов </w:t>
      </w:r>
      <w:r w:rsidRPr="0079280C">
        <w:rPr>
          <w:bCs/>
          <w:kern w:val="0"/>
          <w:szCs w:val="28"/>
          <w:shd w:val="clear" w:color="auto" w:fill="FFFFFF"/>
          <w:vertAlign w:val="superscript"/>
          <w:lang w:val="uz-Cyrl-UZ"/>
        </w:rPr>
        <w:footnoteReference w:id="4"/>
      </w:r>
      <w:r w:rsidRPr="0079280C">
        <w:rPr>
          <w:bCs/>
          <w:kern w:val="0"/>
          <w:szCs w:val="28"/>
          <w:shd w:val="clear" w:color="auto" w:fill="FFFFFF"/>
          <w:lang w:val="uz-Cyrl-UZ"/>
        </w:rPr>
        <w:t xml:space="preserve">». На наш взгляд, в развитии аграрного сектора в Узбекистане важно и дальше укреплять стратегию привлечения иностранных </w:t>
      </w:r>
      <w:r w:rsidRPr="0079280C">
        <w:rPr>
          <w:bCs/>
          <w:kern w:val="0"/>
          <w:szCs w:val="28"/>
          <w:shd w:val="clear" w:color="auto" w:fill="FFFFFF"/>
          <w:lang w:val="uz-Cyrl-UZ"/>
        </w:rPr>
        <w:lastRenderedPageBreak/>
        <w:t>инвестиций, совершенствовать правовую и институциональную базу и создавать гарантированную среду для инвесторов.</w:t>
      </w:r>
    </w:p>
    <w:p w:rsidR="0079280C" w:rsidRPr="00E7126A" w:rsidRDefault="0079280C" w:rsidP="00F84C18">
      <w:pPr>
        <w:spacing w:after="0" w:line="360" w:lineRule="auto"/>
        <w:ind w:firstLine="709"/>
        <w:jc w:val="both"/>
        <w:rPr>
          <w:bCs/>
          <w:szCs w:val="28"/>
          <w:shd w:val="clear" w:color="auto" w:fill="FFFFFF"/>
          <w:lang w:val="uz-Cyrl-UZ"/>
        </w:rPr>
      </w:pPr>
      <w:r w:rsidRPr="0056479D">
        <w:rPr>
          <w:bCs/>
          <w:szCs w:val="28"/>
          <w:shd w:val="clear" w:color="auto" w:fill="FFFFFF"/>
          <w:lang w:val="uz-Cyrl-UZ"/>
        </w:rPr>
        <w:t xml:space="preserve">В научных исследованиях И. Сигидова «необходимость привлечения иностранных инвестиций в агропромышленный сектор объясняется такими проблемами, как перебои в материально-техническом обеспечении сельского хозяйства, проблемы с ремонтом и техническим обслуживанием машин и оборудования, а также нехватка запасных частей, которые негативно влияют на развитие сельскохозяйственного производства. В качестве решения особое внимание уделяется развитию лизинга, который рассматривается как альтернативная форма финансирования модернизации основного капитала » </w:t>
      </w:r>
      <w:r w:rsidRPr="0056479D">
        <w:rPr>
          <w:rStyle w:val="af0"/>
          <w:bCs/>
          <w:szCs w:val="28"/>
          <w:shd w:val="clear" w:color="auto" w:fill="FFFFFF"/>
          <w:lang w:val="uz-Cyrl-UZ"/>
        </w:rPr>
        <w:footnoteReference w:id="5"/>
      </w:r>
      <w:r w:rsidRPr="0056479D">
        <w:rPr>
          <w:bCs/>
          <w:szCs w:val="28"/>
          <w:shd w:val="clear" w:color="auto" w:fill="FFFFFF"/>
          <w:lang w:val="uz-Cyrl-UZ"/>
        </w:rPr>
        <w:t>.</w:t>
      </w:r>
      <w:r w:rsidRPr="0079280C">
        <w:rPr>
          <w:lang w:val="uz-Cyrl-UZ"/>
        </w:rPr>
        <w:t xml:space="preserve"> </w:t>
      </w:r>
      <w:r w:rsidRPr="0079280C">
        <w:rPr>
          <w:bCs/>
          <w:szCs w:val="28"/>
          <w:shd w:val="clear" w:color="auto" w:fill="FFFFFF"/>
          <w:lang w:val="uz-Cyrl-UZ"/>
        </w:rPr>
        <w:t>По нашему мнению,</w:t>
      </w:r>
      <w:r w:rsidR="00E7126A" w:rsidRPr="00E7126A">
        <w:rPr>
          <w:lang w:val="uz-Cyrl-UZ"/>
        </w:rPr>
        <w:t xml:space="preserve"> </w:t>
      </w:r>
      <w:r w:rsidR="00E7126A" w:rsidRPr="00E7126A">
        <w:rPr>
          <w:bCs/>
          <w:szCs w:val="28"/>
          <w:shd w:val="clear" w:color="auto" w:fill="FFFFFF"/>
          <w:lang w:val="uz-Cyrl-UZ"/>
        </w:rPr>
        <w:t>Приобретение крупной техники и оборудования для сельскохозяйственных предприятий требует значительных финансовых затрат. Лизинг позволяет использовать эту технику и оборудование поэтапно, одновременно модернизируя их без остановки производственного процесса.</w:t>
      </w:r>
    </w:p>
    <w:p w:rsidR="00D37ED8" w:rsidRPr="00E7126A" w:rsidRDefault="00D37ED8" w:rsidP="00F84C18">
      <w:pPr>
        <w:spacing w:after="0" w:line="360" w:lineRule="auto"/>
        <w:ind w:firstLine="709"/>
        <w:jc w:val="both"/>
        <w:rPr>
          <w:lang w:val="uz-Cyrl-UZ"/>
        </w:rPr>
      </w:pPr>
      <w:r w:rsidRPr="00D37ED8">
        <w:rPr>
          <w:lang w:val="uz-Cyrl-UZ"/>
        </w:rPr>
        <w:t xml:space="preserve">Первые взгляды на экономическое содержание инвестиций и их роль в развитии аграрного сектора можно увидеть в работах физиократа Ф. Кене. По его мнению, «для владения землей и ведения бизнеса необходимо приобретать скот, почвообрабатывающее оборудование и семена. Необходимо нести расходы на строительство амбаров, рытье каналов, прокладку трубопроводов и наем рабочих </w:t>
      </w:r>
      <w:r>
        <w:rPr>
          <w:rStyle w:val="af0"/>
          <w:lang w:val="uz-Cyrl-UZ"/>
        </w:rPr>
        <w:footnoteReference w:id="6"/>
      </w:r>
      <w:r w:rsidRPr="00D37ED8">
        <w:rPr>
          <w:lang w:val="uz-Cyrl-UZ"/>
        </w:rPr>
        <w:t>». На наш взгляд, идеи, выдвинутые физиократом Ф. Кене об аграрной экономике, глубоко объясняют содержание и важность инвестиций и не утратили своей актуальности и сегодня. В частности, его идея о том, что «земля является основным источником богатства», служит важной теоретической основой для определения роли и значения инвестиций в развитии сельского хозяйства.</w:t>
      </w:r>
    </w:p>
    <w:p w:rsidR="00D37ED8" w:rsidRPr="00E7126A" w:rsidRDefault="00D37ED8" w:rsidP="00F84C18">
      <w:pPr>
        <w:spacing w:after="0" w:line="360" w:lineRule="auto"/>
        <w:ind w:firstLine="709"/>
        <w:jc w:val="both"/>
        <w:rPr>
          <w:bCs/>
          <w:szCs w:val="28"/>
          <w:shd w:val="clear" w:color="auto" w:fill="FFFFFF"/>
          <w:lang w:val="uz-Cyrl-UZ"/>
        </w:rPr>
      </w:pPr>
      <w:r w:rsidRPr="00B73C37">
        <w:rPr>
          <w:bCs/>
          <w:szCs w:val="28"/>
          <w:shd w:val="clear" w:color="auto" w:fill="FFFFFF"/>
          <w:lang w:val="uz-Cyrl-UZ"/>
        </w:rPr>
        <w:t xml:space="preserve">Один из основателей классической экономической теории, А. Смит, также систематизировал свои научные взгляды на роль инвестиций в процессе </w:t>
      </w:r>
      <w:r w:rsidRPr="00B73C37">
        <w:rPr>
          <w:bCs/>
          <w:szCs w:val="28"/>
          <w:shd w:val="clear" w:color="auto" w:fill="FFFFFF"/>
          <w:lang w:val="uz-Cyrl-UZ"/>
        </w:rPr>
        <w:lastRenderedPageBreak/>
        <w:t xml:space="preserve">социального воспроизводства. Ссылаясь на экономическую природу инвестиций в сельское хозяйство, промышленность, внутреннюю и внешнюю торговлю, он утверждал, что никакой другой капитал не мобилизует столько же производительного труда, сколько капитал фермера </w:t>
      </w:r>
      <w:r>
        <w:rPr>
          <w:rStyle w:val="af0"/>
          <w:bCs/>
          <w:szCs w:val="28"/>
          <w:shd w:val="clear" w:color="auto" w:fill="FFFFFF"/>
        </w:rPr>
        <w:footnoteReference w:id="7"/>
      </w:r>
      <w:r w:rsidRPr="00B73C37">
        <w:rPr>
          <w:bCs/>
          <w:szCs w:val="28"/>
          <w:shd w:val="clear" w:color="auto" w:fill="FFFFFF"/>
          <w:lang w:val="uz-Cyrl-UZ"/>
        </w:rPr>
        <w:t>.</w:t>
      </w:r>
      <w:r w:rsidRPr="00B73C37">
        <w:rPr>
          <w:lang w:val="uz-Cyrl-UZ"/>
        </w:rPr>
        <w:t xml:space="preserve"> </w:t>
      </w:r>
      <w:r w:rsidRPr="00B73C37">
        <w:rPr>
          <w:bCs/>
          <w:szCs w:val="28"/>
          <w:shd w:val="clear" w:color="auto" w:fill="FFFFFF"/>
          <w:lang w:val="uz-Cyrl-UZ"/>
        </w:rPr>
        <w:t>По нашему мнению,</w:t>
      </w:r>
      <w:r w:rsidR="00E7126A" w:rsidRPr="00E7126A">
        <w:rPr>
          <w:lang w:val="uz-Cyrl-UZ"/>
        </w:rPr>
        <w:t xml:space="preserve"> </w:t>
      </w:r>
      <w:r w:rsidR="00E7126A" w:rsidRPr="00E7126A">
        <w:rPr>
          <w:bCs/>
          <w:szCs w:val="28"/>
          <w:shd w:val="clear" w:color="auto" w:fill="FFFFFF"/>
          <w:lang w:val="uz-Cyrl-UZ"/>
        </w:rPr>
        <w:t>Научные взгляды А. Смита на инвестиции, особенно в контексте сельского хозяйства, остаются актуальными и в современной экономике. Его идеи о взаимосвязи между капиталом и производительностью труда побуждают нас оценивать инвестиции не только как финансовый ресурс, но и как средство обеспечения эффективности производства.</w:t>
      </w:r>
    </w:p>
    <w:p w:rsidR="00D37ED8" w:rsidRPr="00DF774B" w:rsidRDefault="00D37ED8" w:rsidP="00F84C18">
      <w:pPr>
        <w:spacing w:after="0" w:line="360" w:lineRule="auto"/>
        <w:ind w:firstLine="709"/>
        <w:jc w:val="both"/>
        <w:rPr>
          <w:bCs/>
          <w:szCs w:val="28"/>
          <w:shd w:val="clear" w:color="auto" w:fill="FFFFFF"/>
          <w:lang w:val="ru-RU"/>
        </w:rPr>
      </w:pPr>
      <w:r w:rsidRPr="00B73C37">
        <w:rPr>
          <w:bCs/>
          <w:szCs w:val="28"/>
          <w:shd w:val="clear" w:color="auto" w:fill="FFFFFF"/>
          <w:lang w:val="uz-Cyrl-UZ"/>
        </w:rPr>
        <w:t xml:space="preserve">Английский экономист Дж. М. Кейнс считает, что если инвестиции не будут осуществляться, доходы предпринимателей будут ниже уровня, необходимого для повышения уровня занятости. Он также рассматривает абсолютную необходимость инвестиций в экономику с точки зрения поддержания уровня занятости населения и совокупного спроса. </w:t>
      </w:r>
      <w:r w:rsidRPr="00DF774B">
        <w:rPr>
          <w:bCs/>
          <w:szCs w:val="28"/>
          <w:shd w:val="clear" w:color="auto" w:fill="FFFFFF"/>
          <w:lang w:val="ru-RU"/>
        </w:rPr>
        <w:t xml:space="preserve">Он утверждает, что если инвестиции не будут осуществляться, доходы предпринимателей будут ниже уровня, необходимого для пробуждения в них желания увеличить занятость </w:t>
      </w:r>
      <w:r>
        <w:rPr>
          <w:rStyle w:val="af0"/>
          <w:bCs/>
          <w:szCs w:val="28"/>
          <w:shd w:val="clear" w:color="auto" w:fill="FFFFFF"/>
        </w:rPr>
        <w:footnoteReference w:id="8"/>
      </w:r>
      <w:r w:rsidRPr="00DF774B">
        <w:rPr>
          <w:bCs/>
          <w:szCs w:val="28"/>
          <w:shd w:val="clear" w:color="auto" w:fill="FFFFFF"/>
          <w:lang w:val="ru-RU"/>
        </w:rPr>
        <w:t>.</w:t>
      </w:r>
      <w:r w:rsidRPr="00DF774B">
        <w:rPr>
          <w:lang w:val="ru-RU"/>
        </w:rPr>
        <w:t xml:space="preserve"> </w:t>
      </w:r>
      <w:r w:rsidRPr="00DF774B">
        <w:rPr>
          <w:bCs/>
          <w:szCs w:val="28"/>
          <w:shd w:val="clear" w:color="auto" w:fill="FFFFFF"/>
          <w:lang w:val="ru-RU"/>
        </w:rPr>
        <w:t>По нашему мнению,</w:t>
      </w:r>
      <w:r w:rsidR="00E7126A" w:rsidRPr="00DF774B">
        <w:rPr>
          <w:lang w:val="ru-RU"/>
        </w:rPr>
        <w:t xml:space="preserve"> </w:t>
      </w:r>
      <w:r w:rsidR="00E7126A" w:rsidRPr="00DF774B">
        <w:rPr>
          <w:bCs/>
          <w:szCs w:val="28"/>
          <w:shd w:val="clear" w:color="auto" w:fill="FFFFFF"/>
          <w:lang w:val="ru-RU"/>
        </w:rPr>
        <w:t>Взгляды Дж. М. Кейнса на инвестиции особенно актуальны с точки зрения стимулирования экономического роста, обеспечения занятости и поддержки совокупного спроса. Его акцент на тесной связи между инвестициями, экономической стабильностью и социальным благополучием служит очень важной теоретической основой для современных развивающихся стран, в частности Узбекистана.</w:t>
      </w:r>
    </w:p>
    <w:p w:rsidR="00D37ED8" w:rsidRPr="00DF774B" w:rsidRDefault="00D37ED8" w:rsidP="00B73C37">
      <w:pPr>
        <w:spacing w:after="0" w:line="360" w:lineRule="auto"/>
        <w:ind w:firstLine="709"/>
        <w:jc w:val="both"/>
        <w:rPr>
          <w:bCs/>
          <w:szCs w:val="28"/>
          <w:shd w:val="clear" w:color="auto" w:fill="FFFFFF"/>
          <w:lang w:val="ru-RU"/>
        </w:rPr>
      </w:pPr>
      <w:r w:rsidRPr="00DF774B">
        <w:rPr>
          <w:lang w:val="ru-RU"/>
        </w:rPr>
        <w:t xml:space="preserve">Экономисты И.Н. Буздалов и В.Е. Афонина подчеркивают важность инвестиций в техническое развитие сельского хозяйства, признавая, что направления инвестиционной деятельности определяются воспроизводством и улучшением основных инвестиционных продуктов. Они подчеркивают, что, привлекая инвестиции, факторы производства: земля, труд, капитал, получают </w:t>
      </w:r>
      <w:r w:rsidRPr="00DF774B">
        <w:rPr>
          <w:lang w:val="ru-RU"/>
        </w:rPr>
        <w:lastRenderedPageBreak/>
        <w:t xml:space="preserve">возможность обеспечить технологический прогресс в сельском хозяйстве за счет использования информации и инноваций </w:t>
      </w:r>
      <w:r>
        <w:rPr>
          <w:rStyle w:val="af0"/>
          <w:lang w:val="en-US"/>
        </w:rPr>
        <w:footnoteReference w:id="9"/>
      </w:r>
      <w:r w:rsidRPr="00DF774B">
        <w:rPr>
          <w:lang w:val="ru-RU"/>
        </w:rPr>
        <w:t>. На наш взгляд, идеи, выдвинутые И.Н. Буздаловым и В.Е. Афониной, служат важной теоретической и практической основой для современной аграрной политики и экономики. В частности, центральное место в инновационном развитии аграрного сектора занимает подход к инвестиционной деятельности как к основе достижения технико-технологического прогресса.</w:t>
      </w:r>
    </w:p>
    <w:p w:rsidR="00E7126A" w:rsidRPr="00FA07D7" w:rsidRDefault="0079280C" w:rsidP="00A815A6">
      <w:pPr>
        <w:spacing w:after="0" w:line="360" w:lineRule="auto"/>
        <w:ind w:firstLine="709"/>
        <w:jc w:val="both"/>
        <w:rPr>
          <w:bCs/>
          <w:szCs w:val="28"/>
          <w:shd w:val="clear" w:color="auto" w:fill="FFFFFF"/>
          <w:lang w:val="uz-Cyrl-UZ"/>
        </w:rPr>
      </w:pPr>
      <w:r w:rsidRPr="0056479D">
        <w:rPr>
          <w:bCs/>
          <w:szCs w:val="28"/>
          <w:shd w:val="clear" w:color="auto" w:fill="FFFFFF"/>
          <w:lang w:val="uz-Cyrl-UZ"/>
        </w:rPr>
        <w:t xml:space="preserve">Д. Алимжонова считает, что «прямые иностранные инвестиции в агропромышленный сектор являются наиболее эффективным способом достижения экономического роста в агропромышленном производстве. В этом случае инвестирование в агропредприятия предполагает установление той или иной степени контроля, иначе высок риск невозврата средств. Поэтому необходимо привлекать иностранные инвестиции в агропромышленный сектор в форме создания совместных предприятий » </w:t>
      </w:r>
      <w:r w:rsidRPr="0056479D">
        <w:rPr>
          <w:rStyle w:val="af0"/>
          <w:bCs/>
          <w:szCs w:val="28"/>
          <w:shd w:val="clear" w:color="auto" w:fill="FFFFFF"/>
          <w:lang w:val="uz-Cyrl-UZ"/>
        </w:rPr>
        <w:footnoteReference w:id="10"/>
      </w:r>
      <w:r w:rsidRPr="0056479D">
        <w:rPr>
          <w:bCs/>
          <w:szCs w:val="28"/>
          <w:shd w:val="clear" w:color="auto" w:fill="FFFFFF"/>
          <w:lang w:val="uz-Cyrl-UZ"/>
        </w:rPr>
        <w:t>.</w:t>
      </w:r>
      <w:r w:rsidRPr="0079280C">
        <w:rPr>
          <w:lang w:val="uz-Cyrl-UZ"/>
        </w:rPr>
        <w:t xml:space="preserve"> </w:t>
      </w:r>
      <w:r w:rsidR="00E7126A" w:rsidRPr="00E7126A">
        <w:rPr>
          <w:bCs/>
          <w:szCs w:val="28"/>
          <w:shd w:val="clear" w:color="auto" w:fill="FFFFFF"/>
          <w:lang w:val="uz-Cyrl-UZ"/>
        </w:rPr>
        <w:t>На наш взгляд, взгляды Д. Алимжоновой на привлечение прямых иностранных инвестиций (ПИИ) в аграрный сектор имеют практическое и актуальное значение. В частности, модель создания совместных предприятий для привлечения ПИИ в сельское хозяйство не только обеспечивает безопасность инвестиций, но и расширяет возможности трансфера технологий, управленческого опыта и интеграции с международными рынками.</w:t>
      </w:r>
    </w:p>
    <w:p w:rsidR="0079280C" w:rsidRPr="00E7126A" w:rsidRDefault="0079280C" w:rsidP="00A815A6">
      <w:pPr>
        <w:spacing w:after="0" w:line="360" w:lineRule="auto"/>
        <w:ind w:firstLine="709"/>
        <w:jc w:val="both"/>
        <w:rPr>
          <w:bCs/>
          <w:szCs w:val="28"/>
          <w:shd w:val="clear" w:color="auto" w:fill="FFFFFF"/>
          <w:lang w:val="uz-Cyrl-UZ"/>
        </w:rPr>
      </w:pPr>
      <w:r w:rsidRPr="0056479D">
        <w:rPr>
          <w:bCs/>
          <w:szCs w:val="28"/>
          <w:shd w:val="clear" w:color="auto" w:fill="FFFFFF"/>
          <w:lang w:val="uz-Cyrl-UZ"/>
        </w:rPr>
        <w:t xml:space="preserve">В научно-исследовательской работе К. Чориева «Развитие сельского хозяйства, планирование деятельности крестьян и фермерских хозяйств, эффективность инновационного управления развитием аграрного сектора </w:t>
      </w:r>
      <w:r w:rsidRPr="0056479D">
        <w:rPr>
          <w:bCs/>
          <w:szCs w:val="28"/>
          <w:shd w:val="clear" w:color="auto" w:fill="FFFFFF"/>
          <w:vertAlign w:val="superscript"/>
        </w:rPr>
        <w:footnoteReference w:id="11"/>
      </w:r>
      <w:r w:rsidRPr="0079280C">
        <w:rPr>
          <w:bCs/>
          <w:szCs w:val="28"/>
          <w:shd w:val="clear" w:color="auto" w:fill="FFFFFF"/>
          <w:lang w:val="uz-Cyrl-UZ"/>
        </w:rPr>
        <w:t>»</w:t>
      </w:r>
      <w:r w:rsidRPr="0079280C">
        <w:rPr>
          <w:lang w:val="uz-Cyrl-UZ"/>
        </w:rPr>
        <w:t xml:space="preserve"> </w:t>
      </w:r>
      <w:r w:rsidR="00E7126A" w:rsidRPr="00E7126A">
        <w:rPr>
          <w:bCs/>
          <w:szCs w:val="28"/>
          <w:shd w:val="clear" w:color="auto" w:fill="FFFFFF"/>
          <w:lang w:val="uz-Cyrl-UZ"/>
        </w:rPr>
        <w:t xml:space="preserve">На наш взгляд, акцент К. Чориева на эффективности инновационного управления при планировании развития сельского хозяйства и деятельности </w:t>
      </w:r>
      <w:r w:rsidR="00E7126A" w:rsidRPr="00E7126A">
        <w:rPr>
          <w:bCs/>
          <w:szCs w:val="28"/>
          <w:shd w:val="clear" w:color="auto" w:fill="FFFFFF"/>
          <w:lang w:val="uz-Cyrl-UZ"/>
        </w:rPr>
        <w:lastRenderedPageBreak/>
        <w:t xml:space="preserve">крестьянских хозяйств </w:t>
      </w:r>
      <w:r w:rsidR="00E7126A" w:rsidRPr="00E7126A">
        <w:rPr>
          <w:szCs w:val="28"/>
          <w:shd w:val="clear" w:color="auto" w:fill="FFFFFF"/>
          <w:lang w:val="uz-Cyrl-UZ"/>
        </w:rPr>
        <w:t>имеет большое теоретическое и практическое значение в модернизации аграрного сектора. В современных экономических условиях для формирования конкурентоспособной аграрной системы необходимо совершенствовать систему управления, опираясь не только на традиционные подходы, но и на инновационные и технологические решения.</w:t>
      </w:r>
    </w:p>
    <w:p w:rsidR="0079280C" w:rsidRPr="00FA07D7" w:rsidRDefault="0079280C" w:rsidP="00E7126A">
      <w:pPr>
        <w:spacing w:after="0" w:line="360" w:lineRule="auto"/>
        <w:ind w:firstLine="709"/>
        <w:jc w:val="both"/>
        <w:rPr>
          <w:lang w:val="uz-Cyrl-UZ"/>
        </w:rPr>
      </w:pPr>
      <w:r w:rsidRPr="0056479D">
        <w:rPr>
          <w:bCs/>
          <w:szCs w:val="28"/>
          <w:shd w:val="clear" w:color="auto" w:fill="FFFFFF"/>
          <w:lang w:val="uz-Cyrl-UZ"/>
        </w:rPr>
        <w:t xml:space="preserve">Е. Шодмонов, с другой стороны, «обосновал целесообразность усиления практики финансирования инвестиций на лизинговой основе, внедрения продажи зерна и хлопка сверх государственных заказов по фьючерсным контрактам, учитывая нестабильное финансовое положение сельскохозяйственных предприятий и ограниченный доступ к источникам финансирования инвестиционных затрат » </w:t>
      </w:r>
      <w:r w:rsidRPr="0056479D">
        <w:rPr>
          <w:bCs/>
          <w:szCs w:val="28"/>
          <w:shd w:val="clear" w:color="auto" w:fill="FFFFFF"/>
          <w:vertAlign w:val="superscript"/>
        </w:rPr>
        <w:footnoteReference w:id="12"/>
      </w:r>
      <w:r w:rsidRPr="0056479D">
        <w:rPr>
          <w:bCs/>
          <w:szCs w:val="28"/>
          <w:shd w:val="clear" w:color="auto" w:fill="FFFFFF"/>
          <w:lang w:val="uz-Cyrl-UZ"/>
        </w:rPr>
        <w:t>.</w:t>
      </w:r>
      <w:r w:rsidRPr="00D37ED8">
        <w:rPr>
          <w:lang w:val="uz-Cyrl-UZ"/>
        </w:rPr>
        <w:t xml:space="preserve"> </w:t>
      </w:r>
      <w:r w:rsidR="00E7126A" w:rsidRPr="00E7126A">
        <w:rPr>
          <w:bCs/>
          <w:szCs w:val="28"/>
          <w:shd w:val="clear" w:color="auto" w:fill="FFFFFF"/>
          <w:lang w:val="uz-Cyrl-UZ"/>
        </w:rPr>
        <w:t>На наш взгляд, предложения Е. Шодмонова по улучшению финансового положения сельскохозяйственных предприятий и финансированию инвестиций имеют свою актуальность и практическую значимость. Внедрение таких методов, как финансирование инвестиций на основе лизинга и продажа зерна и хлопка по фьючерсным контрактам, может стать эффективным инструментом улучшения нестабильного финансового положения сельскохозяйственных предприятий и увеличения инвестиционных ресурсов.</w:t>
      </w:r>
    </w:p>
    <w:p w:rsidR="00E25EAB" w:rsidRPr="00E25EAB" w:rsidRDefault="00E25EAB" w:rsidP="00E25EAB">
      <w:pPr>
        <w:spacing w:after="0" w:line="360" w:lineRule="auto"/>
        <w:ind w:firstLine="720"/>
        <w:jc w:val="both"/>
        <w:rPr>
          <w:lang w:val="uz-Cyrl-UZ"/>
        </w:rPr>
      </w:pPr>
      <w:r w:rsidRPr="00E25EAB">
        <w:rPr>
          <w:lang w:val="uz-Cyrl-UZ"/>
        </w:rPr>
        <w:t>Необходимо привлекать инвестиции в сельскую местность, а также иностранные инвестиции. В ходе встречи обсуждались следующие задачи Стратегии действий Президента Республики Узбекистан по модернизации и революционному развитию сельской местности:</w:t>
      </w:r>
    </w:p>
    <w:p w:rsidR="00E25EAB" w:rsidRPr="00E25EAB" w:rsidRDefault="00E25EAB" w:rsidP="00E25EAB">
      <w:pPr>
        <w:spacing w:after="0" w:line="360" w:lineRule="auto"/>
        <w:ind w:firstLine="720"/>
        <w:jc w:val="both"/>
        <w:rPr>
          <w:lang w:val="uz-Cyrl-UZ"/>
        </w:rPr>
      </w:pPr>
      <w:r w:rsidRPr="00E25EAB">
        <w:rPr>
          <w:lang w:val="uz-Cyrl-UZ"/>
        </w:rPr>
        <w:t>Прежде всего, фермерам и волонтерам в одном месте предлагается организовать переработку, хранение, продажу, приготовление пищи и обслуживание сельскохозяйственной продукции. Это создает благоприятные условия;</w:t>
      </w:r>
    </w:p>
    <w:p w:rsidR="00E25EAB" w:rsidRPr="00E25EAB" w:rsidRDefault="00E25EAB" w:rsidP="00E25EAB">
      <w:pPr>
        <w:spacing w:after="0" w:line="360" w:lineRule="auto"/>
        <w:ind w:firstLine="720"/>
        <w:jc w:val="both"/>
        <w:rPr>
          <w:lang w:val="uz-Cyrl-UZ"/>
        </w:rPr>
      </w:pPr>
      <w:r w:rsidRPr="00E25EAB">
        <w:rPr>
          <w:lang w:val="uz-Cyrl-UZ"/>
        </w:rPr>
        <w:t xml:space="preserve">оснастить самым современным высокотехнологичным оборудованием для жарки сельскохозяйственной продукции во фритюре, производства </w:t>
      </w:r>
      <w:r w:rsidRPr="00E25EAB">
        <w:rPr>
          <w:lang w:val="uz-Cyrl-UZ"/>
        </w:rPr>
        <w:lastRenderedPageBreak/>
        <w:t>полуфабрикатов и готовых пищевых продуктов, а также упаковочной продукции; построить новые технологические линии, реконструировать здания и модернизировать инвестиционное законодательство;</w:t>
      </w:r>
    </w:p>
    <w:p w:rsidR="00E25EAB" w:rsidRPr="00E25EAB" w:rsidRDefault="00E25EAB" w:rsidP="00E25EAB">
      <w:pPr>
        <w:spacing w:after="0" w:line="360" w:lineRule="auto"/>
        <w:ind w:firstLine="720"/>
        <w:jc w:val="both"/>
        <w:rPr>
          <w:lang w:val="uz-Cyrl-UZ"/>
        </w:rPr>
      </w:pPr>
      <w:r w:rsidRPr="00E25EAB">
        <w:rPr>
          <w:lang w:val="uz-Cyrl-UZ"/>
        </w:rPr>
        <w:t>Хранение, складирование и переработка сельскохозяйственной продукции, агрохимия, добыча полезных ископаемых и другие сельскохозяйственные услуги, а также расширение коммерческой инфраструктуры.</w:t>
      </w:r>
    </w:p>
    <w:p w:rsidR="00E25EAB" w:rsidRPr="00E25EAB" w:rsidRDefault="00E25EAB" w:rsidP="00E25EAB">
      <w:pPr>
        <w:spacing w:after="0" w:line="360" w:lineRule="auto"/>
        <w:ind w:firstLine="720"/>
        <w:jc w:val="both"/>
        <w:rPr>
          <w:lang w:val="uz-Cyrl-UZ"/>
        </w:rPr>
      </w:pPr>
      <w:r w:rsidRPr="00E25EAB">
        <w:rPr>
          <w:lang w:val="uz-Cyrl-UZ"/>
        </w:rPr>
        <w:t>Модернизация сельского хозяйства, развитие современных технологий, реализация проектов по переработке сельскохозяйственной продукции, развитие экспортного сектора, то есть создание рабочих мест, и, самое главное, повышение уровня жизни и улучшение условий жизни населения имеют огромное значение для развития страны.</w:t>
      </w:r>
    </w:p>
    <w:p w:rsidR="00C72E31" w:rsidRPr="00C72E31" w:rsidRDefault="00E25EAB" w:rsidP="008F2BEA">
      <w:pPr>
        <w:spacing w:after="0" w:line="360" w:lineRule="auto"/>
        <w:ind w:firstLine="720"/>
        <w:jc w:val="both"/>
        <w:rPr>
          <w:b/>
          <w:bCs/>
          <w:kern w:val="0"/>
          <w:sz w:val="10"/>
          <w:szCs w:val="10"/>
          <w:lang w:val="uz-Cyrl-UZ"/>
        </w:rPr>
      </w:pPr>
      <w:r w:rsidRPr="00E25EAB">
        <w:rPr>
          <w:lang w:val="uz-Cyrl-UZ"/>
        </w:rPr>
        <w:t>В 2019-2023 годах общее развитие сельского хозяйства, лесного хозяйства и рыболовства увеличилось в 2 раза, рост произведенной на рынке продукции за анализируемый период, объем производства, составил 1035 процентов. Это свидетельствует о разнице в стоимости продукции, произведенной в сферах агропромышленного комплекса и аквакультуры, рыболовства и аквакультуры. Отдельно было отмечено, что в 2018-2022 годах сельскохозяйственные площади села Давомида составили 42,7 тысячи гектаров. При этом объем сельского хозяйства, лесного хозяйства и рыболовства на душу населения увеличился в 1,7 раза, объем животноводства вырос на 1,6 процентных пункта, а объем сельскохозяйственной продукции – на 1,6 процентных пункта.</w:t>
      </w:r>
      <w:r w:rsidR="00C72E31" w:rsidRPr="00C72E31">
        <w:rPr>
          <w:bCs/>
          <w:color w:val="000000"/>
          <w:kern w:val="0"/>
          <w:szCs w:val="28"/>
          <w:shd w:val="clear" w:color="auto" w:fill="FFFFFF"/>
          <w:lang w:val="uz-Cyrl-UZ"/>
        </w:rPr>
        <w:t xml:space="preserve"> </w:t>
      </w:r>
    </w:p>
    <w:p w:rsidR="00C72E31" w:rsidRPr="00C72E31" w:rsidRDefault="00C72E31" w:rsidP="00E25EAB">
      <w:pPr>
        <w:spacing w:after="0" w:line="259" w:lineRule="auto"/>
        <w:jc w:val="both"/>
        <w:rPr>
          <w:kern w:val="0"/>
          <w:sz w:val="22"/>
          <w:lang w:val="uz-Cyrl-UZ"/>
        </w:rPr>
      </w:pPr>
    </w:p>
    <w:p w:rsidR="00E25EAB" w:rsidRPr="00E25EAB" w:rsidRDefault="00C72E31" w:rsidP="00E25EAB">
      <w:pPr>
        <w:spacing w:after="0" w:line="360" w:lineRule="auto"/>
        <w:ind w:firstLine="720"/>
        <w:jc w:val="both"/>
        <w:rPr>
          <w:bCs/>
          <w:color w:val="000000"/>
          <w:kern w:val="0"/>
          <w:szCs w:val="28"/>
          <w:shd w:val="clear" w:color="auto" w:fill="FFFFFF"/>
          <w:lang w:val="uz-Cyrl-UZ"/>
        </w:rPr>
      </w:pPr>
      <w:r w:rsidRPr="00C72E31">
        <w:rPr>
          <w:bCs/>
          <w:color w:val="000000"/>
          <w:kern w:val="0"/>
          <w:szCs w:val="28"/>
          <w:shd w:val="clear" w:color="auto" w:fill="FFFFFF"/>
          <w:lang w:val="uz-Cyrl-UZ"/>
        </w:rPr>
        <w:t xml:space="preserve">В период 2019-2023 годов наблюдалась тенденция к снижению числа рабочих мест в аграрной отрасли, то есть в 2023 году их количество составит 3 344 тысячи человек, что на 200,6 тысячи меньше, чем в 2019 году. Это объясняется, во-первых, высокой долей людей, занятых в неформальном секторе экономики страны. «По состоянию на 1 января 2024 года 39 процентов от общей численности занятого населения Узбекистана работают в </w:t>
      </w:r>
      <w:r w:rsidRPr="00C72E31">
        <w:rPr>
          <w:bCs/>
          <w:color w:val="000000"/>
          <w:kern w:val="0"/>
          <w:szCs w:val="28"/>
          <w:shd w:val="clear" w:color="auto" w:fill="FFFFFF"/>
          <w:lang w:val="uz-Cyrl-UZ"/>
        </w:rPr>
        <w:lastRenderedPageBreak/>
        <w:t xml:space="preserve">неформальном секторе </w:t>
      </w:r>
      <w:r w:rsidRPr="00C72E31">
        <w:rPr>
          <w:bCs/>
          <w:color w:val="000000"/>
          <w:kern w:val="0"/>
          <w:szCs w:val="28"/>
          <w:shd w:val="clear" w:color="auto" w:fill="FFFFFF"/>
          <w:vertAlign w:val="superscript"/>
          <w:lang w:val="uz-Cyrl-UZ"/>
        </w:rPr>
        <w:footnoteReference w:id="13"/>
      </w:r>
      <w:r w:rsidRPr="00C72E31">
        <w:rPr>
          <w:bCs/>
          <w:color w:val="000000"/>
          <w:kern w:val="0"/>
          <w:szCs w:val="28"/>
          <w:shd w:val="clear" w:color="auto" w:fill="FFFFFF"/>
          <w:lang w:val="uz-Cyrl-UZ"/>
        </w:rPr>
        <w:t>». Это особенно касается руководителей временных, разовых и сезонных работ, а также числа людей, неформально занятых в крестьянских хозяйствах, не имеющих юридического лица. Кроме того, в то время как средняя месячная заработная плата в сельском хозяйстве, лесном хозяйстве и рыболовстве, по прогнозам, будет расти в 2019-2023 годах, в других ключевых секторах экономики она остается относительно низкой.</w:t>
      </w:r>
    </w:p>
    <w:p w:rsidR="00E25EAB" w:rsidRPr="00E25EAB" w:rsidRDefault="00E25EAB" w:rsidP="00E25EAB">
      <w:pPr>
        <w:spacing w:after="0" w:line="360" w:lineRule="auto"/>
        <w:ind w:firstLine="720"/>
        <w:jc w:val="both"/>
        <w:rPr>
          <w:bCs/>
          <w:color w:val="000000"/>
          <w:kern w:val="0"/>
          <w:szCs w:val="28"/>
          <w:shd w:val="clear" w:color="auto" w:fill="FFFFFF"/>
          <w:lang w:val="uz-Cyrl-UZ"/>
        </w:rPr>
      </w:pPr>
      <w:r w:rsidRPr="00E25EAB">
        <w:rPr>
          <w:bCs/>
          <w:color w:val="000000"/>
          <w:kern w:val="0"/>
          <w:szCs w:val="28"/>
          <w:shd w:val="clear" w:color="auto" w:fill="FFFFFF"/>
          <w:lang w:val="uz-Cyrl-UZ"/>
        </w:rPr>
        <w:t>Средняя доля фермеров на сельскохозяйственном рынке достигнет своего пика в 2019-2023 годах, составив 50,6 процента. Этот период характеризовался, прежде всего, полным сбором налогов на имущество в домохозяйствах.</w:t>
      </w:r>
    </w:p>
    <w:p w:rsidR="00E25EAB" w:rsidRPr="00E25EAB" w:rsidRDefault="00E25EAB" w:rsidP="00E25EAB">
      <w:pPr>
        <w:spacing w:after="0" w:line="360" w:lineRule="auto"/>
        <w:ind w:firstLine="720"/>
        <w:jc w:val="both"/>
        <w:rPr>
          <w:bCs/>
          <w:color w:val="000000"/>
          <w:kern w:val="0"/>
          <w:szCs w:val="28"/>
          <w:shd w:val="clear" w:color="auto" w:fill="FFFFFF"/>
          <w:lang w:val="uz-Cyrl-UZ"/>
        </w:rPr>
      </w:pPr>
      <w:r w:rsidRPr="00E25EAB">
        <w:rPr>
          <w:bCs/>
          <w:color w:val="000000"/>
          <w:kern w:val="0"/>
          <w:szCs w:val="28"/>
          <w:shd w:val="clear" w:color="auto" w:fill="FFFFFF"/>
          <w:lang w:val="uz-Cyrl-UZ"/>
        </w:rPr>
        <w:t>С этой точки зрения, необходимо было, во-первых, временно укрепить неформальную занятость в аграрной отрасли, а во-вторых, восстановить реальные доходы сельского населения в этой области. Для этого, прежде всего, необходимо передать земельные участки под хлопок и зерновые предпринимателям, инициативным лицам и тем, кто занимается сельским хозяйством, и этот вопрос должен контролироваться хокимиятами и ответственными лицами. Во-вторых, необходимо привлечь иностранные инвестиции в сельское хозяйство. Следовательно, вышеупомянутые меры вытекают из важности сельскохозяйственного производства и развития сельского хозяйства в нашей стране.</w:t>
      </w:r>
    </w:p>
    <w:p w:rsidR="00E25EAB" w:rsidRPr="00E25EAB" w:rsidRDefault="00E25EAB" w:rsidP="00E25EAB">
      <w:pPr>
        <w:spacing w:after="0" w:line="360" w:lineRule="auto"/>
        <w:ind w:firstLine="720"/>
        <w:jc w:val="both"/>
        <w:rPr>
          <w:bCs/>
          <w:color w:val="000000"/>
          <w:kern w:val="0"/>
          <w:szCs w:val="28"/>
          <w:shd w:val="clear" w:color="auto" w:fill="FFFFFF"/>
          <w:lang w:val="uz-Cyrl-UZ"/>
        </w:rPr>
      </w:pPr>
      <w:r w:rsidRPr="00E25EAB">
        <w:rPr>
          <w:bCs/>
          <w:color w:val="000000"/>
          <w:kern w:val="0"/>
          <w:szCs w:val="28"/>
          <w:shd w:val="clear" w:color="auto" w:fill="FFFFFF"/>
          <w:lang w:val="uz-Cyrl-UZ"/>
        </w:rPr>
        <w:t xml:space="preserve">Сегодня, помимо поддержки реформ рабочего класса, которые реализуются в сельской местности в виде стремительных производственных достижений, большое значение имеет и негативная революция форм собственности в сельской местности. В настоящее время эта экономика занимает уникальное место в сельскохозяйственном производстве. В 2018-2022 годах площадь сельскохозяйственных культур увеличилась на 1,8 млн гектаров в качестве доли от общей площади сельскохозяйственных культур. При этом объем производства сельскохозяйственной и животноводческой продукции также демонстрировал аналогичные темпы роста. За последние </w:t>
      </w:r>
      <w:r w:rsidRPr="00E25EAB">
        <w:rPr>
          <w:bCs/>
          <w:color w:val="000000"/>
          <w:kern w:val="0"/>
          <w:szCs w:val="28"/>
          <w:shd w:val="clear" w:color="auto" w:fill="FFFFFF"/>
          <w:lang w:val="uz-Cyrl-UZ"/>
        </w:rPr>
        <w:lastRenderedPageBreak/>
        <w:t>несколько лет доля сельскохозяйственной продукции в росте производства достигла 3,6 процентных пункта, что соответствует росту объема производства. Напротив, темпы роста животноводства снизились на 2,2 процентных пункта.</w:t>
      </w:r>
    </w:p>
    <w:p w:rsidR="00E25EAB" w:rsidRPr="00E25EAB" w:rsidRDefault="00E25EAB" w:rsidP="00E25EAB">
      <w:pPr>
        <w:spacing w:after="0" w:line="360" w:lineRule="auto"/>
        <w:ind w:firstLine="720"/>
        <w:jc w:val="both"/>
        <w:rPr>
          <w:kern w:val="16"/>
          <w:szCs w:val="28"/>
          <w:lang w:val="uz-Cyrl-UZ"/>
        </w:rPr>
      </w:pPr>
      <w:r w:rsidRPr="00E25EAB">
        <w:rPr>
          <w:kern w:val="16"/>
          <w:szCs w:val="28"/>
          <w:lang w:val="uz-Cyrl-UZ"/>
        </w:rPr>
        <w:t>В результате вышеупомянутых исследований был сделан вывод о том, что в соответствии с экономическими условиями и мерами, принятыми в короткий период времени, в сельском хозяйстве были понесены определенные экономические потери.</w:t>
      </w:r>
    </w:p>
    <w:p w:rsidR="00E25EAB" w:rsidRPr="00E25EAB" w:rsidRDefault="00E25EAB" w:rsidP="00E25EAB">
      <w:pPr>
        <w:spacing w:after="0" w:line="360" w:lineRule="auto"/>
        <w:ind w:firstLine="720"/>
        <w:jc w:val="both"/>
        <w:rPr>
          <w:kern w:val="16"/>
          <w:szCs w:val="28"/>
          <w:lang w:val="uz-Cyrl-UZ"/>
        </w:rPr>
      </w:pPr>
      <w:r w:rsidRPr="00E25EAB">
        <w:rPr>
          <w:kern w:val="16"/>
          <w:szCs w:val="28"/>
          <w:lang w:val="uz-Cyrl-UZ"/>
        </w:rPr>
        <w:t>Однако результаты анализа развития сельских центров указывают на наличие ряда негативных факторов, которые существенно повлияли на развитие. Вывод:</w:t>
      </w:r>
    </w:p>
    <w:p w:rsidR="00E25EAB" w:rsidRPr="00E25EAB" w:rsidRDefault="00E25EAB" w:rsidP="00E25EAB">
      <w:pPr>
        <w:spacing w:after="0" w:line="360" w:lineRule="auto"/>
        <w:ind w:firstLine="720"/>
        <w:jc w:val="both"/>
        <w:rPr>
          <w:kern w:val="16"/>
          <w:szCs w:val="28"/>
          <w:lang w:val="uz-Cyrl-UZ"/>
        </w:rPr>
      </w:pPr>
      <w:r w:rsidRPr="00E25EAB">
        <w:rPr>
          <w:kern w:val="16"/>
          <w:szCs w:val="28"/>
          <w:lang w:val="uz-Cyrl-UZ"/>
        </w:rPr>
        <w:t>ограниченные возможности для распределения бюджетных средств, привлечения иностранных инвестиций, использования акционерного капитала и привлечения банковских кредитов;</w:t>
      </w:r>
    </w:p>
    <w:p w:rsidR="00E25EAB" w:rsidRPr="00E25EAB" w:rsidRDefault="00E25EAB" w:rsidP="00E25EAB">
      <w:pPr>
        <w:spacing w:after="0" w:line="360" w:lineRule="auto"/>
        <w:ind w:firstLine="720"/>
        <w:jc w:val="both"/>
        <w:rPr>
          <w:kern w:val="16"/>
          <w:szCs w:val="28"/>
          <w:lang w:val="uz-Cyrl-UZ"/>
        </w:rPr>
      </w:pPr>
      <w:r w:rsidRPr="00E25EAB">
        <w:rPr>
          <w:kern w:val="16"/>
          <w:szCs w:val="28"/>
          <w:lang w:val="uz-Cyrl-UZ"/>
        </w:rPr>
        <w:t>Повышенный риск в этом секторе в условиях ограниченных финансовых ресурсов;</w:t>
      </w:r>
    </w:p>
    <w:p w:rsidR="00E25EAB" w:rsidRPr="00E25EAB" w:rsidRDefault="00E25EAB" w:rsidP="00E25EAB">
      <w:pPr>
        <w:spacing w:after="0" w:line="360" w:lineRule="auto"/>
        <w:ind w:firstLine="720"/>
        <w:jc w:val="both"/>
        <w:rPr>
          <w:kern w:val="16"/>
          <w:szCs w:val="28"/>
          <w:lang w:val="uz-Cyrl-UZ"/>
        </w:rPr>
      </w:pPr>
      <w:r w:rsidRPr="00E25EAB">
        <w:rPr>
          <w:kern w:val="16"/>
          <w:szCs w:val="28"/>
          <w:lang w:val="uz-Cyrl-UZ"/>
        </w:rPr>
        <w:t>наличие достаточных средств для создания ассоциации арендаторов, объединяющей собственников жилья;</w:t>
      </w:r>
    </w:p>
    <w:p w:rsidR="00E25EAB" w:rsidRPr="00E25EAB" w:rsidRDefault="00E25EAB" w:rsidP="00E25EAB">
      <w:pPr>
        <w:spacing w:after="0" w:line="360" w:lineRule="auto"/>
        <w:ind w:firstLine="720"/>
        <w:jc w:val="both"/>
        <w:rPr>
          <w:kern w:val="16"/>
          <w:szCs w:val="28"/>
          <w:lang w:val="uz-Cyrl-UZ"/>
        </w:rPr>
      </w:pPr>
      <w:r w:rsidRPr="00E25EAB">
        <w:rPr>
          <w:kern w:val="16"/>
          <w:szCs w:val="28"/>
          <w:lang w:val="uz-Cyrl-UZ"/>
        </w:rPr>
        <w:t>низкий уровень развития инфраструктуры сельских рынков, включая предоставление информации и различных консультационных услуг;</w:t>
      </w:r>
    </w:p>
    <w:p w:rsidR="00E25EAB" w:rsidRPr="00E25EAB" w:rsidRDefault="00E25EAB" w:rsidP="00E25EAB">
      <w:pPr>
        <w:spacing w:after="0" w:line="360" w:lineRule="auto"/>
        <w:ind w:firstLine="720"/>
        <w:jc w:val="both"/>
        <w:rPr>
          <w:kern w:val="16"/>
          <w:szCs w:val="28"/>
          <w:lang w:val="uz-Cyrl-UZ"/>
        </w:rPr>
      </w:pPr>
      <w:r w:rsidRPr="00E25EAB">
        <w:rPr>
          <w:kern w:val="16"/>
          <w:szCs w:val="28"/>
          <w:lang w:val="uz-Cyrl-UZ"/>
        </w:rPr>
        <w:t>в сфере переработки сельскохозяйственной продукции, в сфере переработки сельскохозяйственной продукции, в научно-исследовательских и экспериментально-конструкторских организациях или государственных служащих, обладающих знанием законодательства страны;</w:t>
      </w:r>
    </w:p>
    <w:p w:rsidR="00E25EAB" w:rsidRPr="00E25EAB" w:rsidRDefault="00E25EAB" w:rsidP="00E25EAB">
      <w:pPr>
        <w:spacing w:after="0" w:line="360" w:lineRule="auto"/>
        <w:ind w:firstLine="720"/>
        <w:jc w:val="both"/>
        <w:rPr>
          <w:kern w:val="16"/>
          <w:szCs w:val="28"/>
          <w:lang w:val="uz-Cyrl-UZ"/>
        </w:rPr>
      </w:pPr>
      <w:r w:rsidRPr="00E25EAB">
        <w:rPr>
          <w:kern w:val="16"/>
          <w:szCs w:val="28"/>
          <w:lang w:val="uz-Cyrl-UZ"/>
        </w:rPr>
        <w:t>Однако возможности для реализации проектов, необходимых крупным финансовым учреждениям, были ограничены;</w:t>
      </w:r>
    </w:p>
    <w:p w:rsidR="00E25EAB" w:rsidRPr="00E25EAB" w:rsidRDefault="00E25EAB" w:rsidP="00E25EAB">
      <w:pPr>
        <w:spacing w:after="0" w:line="360" w:lineRule="auto"/>
        <w:ind w:firstLine="720"/>
        <w:jc w:val="both"/>
        <w:rPr>
          <w:kern w:val="16"/>
          <w:szCs w:val="28"/>
          <w:lang w:val="uz-Cyrl-UZ"/>
        </w:rPr>
      </w:pPr>
      <w:r w:rsidRPr="00E25EAB">
        <w:rPr>
          <w:kern w:val="16"/>
          <w:szCs w:val="28"/>
          <w:lang w:val="uz-Cyrl-UZ"/>
        </w:rPr>
        <w:t>Установление фиксированной государственной цены на закупку зерновых и хлопковых культур, что представляет собой увеличение объема производимой сельскохозяйственной продукции;</w:t>
      </w:r>
    </w:p>
    <w:p w:rsidR="00E25EAB" w:rsidRPr="00E25EAB" w:rsidRDefault="00E25EAB" w:rsidP="00E25EAB">
      <w:pPr>
        <w:spacing w:after="0" w:line="360" w:lineRule="auto"/>
        <w:ind w:firstLine="720"/>
        <w:jc w:val="both"/>
        <w:rPr>
          <w:kern w:val="16"/>
          <w:szCs w:val="28"/>
          <w:lang w:val="uz-Cyrl-UZ"/>
        </w:rPr>
      </w:pPr>
      <w:r w:rsidRPr="00E25EAB">
        <w:rPr>
          <w:kern w:val="16"/>
          <w:szCs w:val="28"/>
          <w:lang w:val="uz-Cyrl-UZ"/>
        </w:rPr>
        <w:lastRenderedPageBreak/>
        <w:t>История о повреждении полосы населения в деревне представляет собой серьезную проблему с точки зрения качества жизни;</w:t>
      </w:r>
    </w:p>
    <w:p w:rsidR="00E25EAB" w:rsidRPr="00E25EAB" w:rsidRDefault="00E25EAB" w:rsidP="00E25EAB">
      <w:pPr>
        <w:spacing w:after="0" w:line="360" w:lineRule="auto"/>
        <w:ind w:firstLine="720"/>
        <w:jc w:val="both"/>
        <w:rPr>
          <w:kern w:val="16"/>
          <w:szCs w:val="28"/>
          <w:lang w:val="uz-Cyrl-UZ"/>
        </w:rPr>
      </w:pPr>
      <w:r w:rsidRPr="00E25EAB">
        <w:rPr>
          <w:kern w:val="16"/>
          <w:szCs w:val="28"/>
          <w:lang w:val="uz-Cyrl-UZ"/>
        </w:rPr>
        <w:t>необходимость установления правового аспекта производственных отношений в городе Холиги и т. д.</w:t>
      </w:r>
    </w:p>
    <w:p w:rsidR="00C72E31" w:rsidRPr="00C72E31" w:rsidRDefault="00E25EAB" w:rsidP="00E25EAB">
      <w:pPr>
        <w:spacing w:after="0" w:line="360" w:lineRule="auto"/>
        <w:ind w:firstLine="720"/>
        <w:jc w:val="both"/>
        <w:rPr>
          <w:kern w:val="0"/>
          <w:szCs w:val="28"/>
          <w:lang w:val="uz-Cyrl-UZ"/>
        </w:rPr>
      </w:pPr>
      <w:r w:rsidRPr="00E25EAB">
        <w:rPr>
          <w:kern w:val="16"/>
          <w:szCs w:val="28"/>
          <w:lang w:val="uz-Cyrl-UZ"/>
        </w:rPr>
        <w:t xml:space="preserve">В заключение необходимо подчеркнуть, что, в соответствии с целями и эффективностью аграрных перспектив, сегодня аграрный сектор находится на наиболее эффективном этапе развития, стабилен и сетеориентирован, эти хозяйства связаны, связаны, связаны и связаны в соответствии с перспективой. Проведенные в сельской местности реформы собственности раскрыли свои секреты и по сей день. В результате действия фермера выражаются в форме соглашения о характере его деятельности и характере его действий. Что наиболее важно, сформировались кластеры, то есть группы, объединенные и общающиеся друг с другом, не привязанные к определенному географическому положению, а организованные группы формируются в социальные и этнические группы. Это является основным фактором, обеспечивающим развитие </w:t>
      </w:r>
      <w:r w:rsidR="00C72E31" w:rsidRPr="00C72E31">
        <w:rPr>
          <w:kern w:val="0"/>
          <w:szCs w:val="28"/>
          <w:lang w:val="uz-Cyrl-UZ"/>
        </w:rPr>
        <w:t>.</w:t>
      </w:r>
    </w:p>
    <w:p w:rsidR="00E25EAB" w:rsidRPr="00E25EAB" w:rsidRDefault="00E25EAB" w:rsidP="00E25EAB">
      <w:pPr>
        <w:spacing w:after="0" w:line="360" w:lineRule="auto"/>
        <w:ind w:firstLine="720"/>
        <w:jc w:val="both"/>
        <w:rPr>
          <w:kern w:val="0"/>
          <w:szCs w:val="28"/>
          <w:lang w:val="uz-Cyrl-UZ"/>
        </w:rPr>
      </w:pPr>
      <w:r w:rsidRPr="00E25EAB">
        <w:rPr>
          <w:kern w:val="0"/>
          <w:szCs w:val="28"/>
          <w:lang w:val="uz-Cyrl-UZ"/>
        </w:rPr>
        <w:t xml:space="preserve">Сельское хозяйство – это отрасль, богатая добавками. Наши рынки – это благословение, наша жизнь – как у фараона. Ноль, наша страна всегда щедра. В последние несколько лет была проделана огромная работа по фундаментальной реформе сельскохозяйственного сектора и его адаптации к требованиям рынка. Например, увеличение государственных цен примерно в 3 раза превратило хлопководство и зерновое хозяйство в рискованное предприятие, приносящее огромные прибыли. С другой стороны, это полностью изменило кластерную работу в хлопководстве, то есть усилия, направленные на формирование кластеров. На первый план вышла возможность создания предпринимательской деятельности и свободного передвижения. В хлопковых полях внедряются экономичные методы орошения. В производстве этого резервного продукта внедряется новая водосберегающая система орошения, предполагается, что урожай будет </w:t>
      </w:r>
      <w:r w:rsidRPr="00E25EAB">
        <w:rPr>
          <w:kern w:val="0"/>
          <w:szCs w:val="28"/>
          <w:lang w:val="uz-Cyrl-UZ"/>
        </w:rPr>
        <w:lastRenderedPageBreak/>
        <w:t>собираться в готовом виде, а после отгрузки земля будет вводиться в производство. Такие усилия способствуют расчистке полей.</w:t>
      </w:r>
    </w:p>
    <w:p w:rsidR="00E25EAB" w:rsidRPr="00E25EAB" w:rsidRDefault="00E25EAB" w:rsidP="00E25EAB">
      <w:pPr>
        <w:spacing w:after="0" w:line="360" w:lineRule="auto"/>
        <w:ind w:firstLine="720"/>
        <w:jc w:val="both"/>
        <w:rPr>
          <w:kern w:val="0"/>
          <w:szCs w:val="28"/>
          <w:lang w:val="uz-Cyrl-UZ"/>
        </w:rPr>
      </w:pPr>
      <w:r w:rsidRPr="00E25EAB">
        <w:rPr>
          <w:kern w:val="0"/>
          <w:szCs w:val="28"/>
          <w:lang w:val="uz-Cyrl-UZ"/>
        </w:rPr>
        <w:t>Следует отметить следующее:</w:t>
      </w:r>
    </w:p>
    <w:p w:rsidR="00E25EAB" w:rsidRPr="00E25EAB" w:rsidRDefault="00E25EAB" w:rsidP="00E25EAB">
      <w:pPr>
        <w:spacing w:after="0" w:line="360" w:lineRule="auto"/>
        <w:ind w:firstLine="720"/>
        <w:jc w:val="both"/>
        <w:rPr>
          <w:kern w:val="0"/>
          <w:szCs w:val="28"/>
          <w:lang w:val="uz-Cyrl-UZ"/>
        </w:rPr>
      </w:pPr>
      <w:r w:rsidRPr="00E25EAB">
        <w:rPr>
          <w:kern w:val="0"/>
          <w:szCs w:val="28"/>
          <w:lang w:val="uz-Cyrl-UZ"/>
        </w:rPr>
        <w:t>обеспечение экспорта с сельскохозяйственных земель;</w:t>
      </w:r>
    </w:p>
    <w:p w:rsidR="00E25EAB" w:rsidRPr="00E25EAB" w:rsidRDefault="00E25EAB" w:rsidP="00E25EAB">
      <w:pPr>
        <w:spacing w:after="0" w:line="360" w:lineRule="auto"/>
        <w:ind w:firstLine="720"/>
        <w:jc w:val="both"/>
        <w:rPr>
          <w:kern w:val="0"/>
          <w:szCs w:val="28"/>
          <w:lang w:val="uz-Cyrl-UZ"/>
        </w:rPr>
      </w:pPr>
      <w:r w:rsidRPr="00E25EAB">
        <w:rPr>
          <w:kern w:val="0"/>
          <w:szCs w:val="28"/>
          <w:lang w:val="uz-Cyrl-UZ"/>
        </w:rPr>
        <w:t>принимать его после воды;</w:t>
      </w:r>
    </w:p>
    <w:p w:rsidR="00E25EAB" w:rsidRPr="00E25EAB" w:rsidRDefault="00E25EAB" w:rsidP="00E25EAB">
      <w:pPr>
        <w:spacing w:after="0" w:line="360" w:lineRule="auto"/>
        <w:ind w:firstLine="720"/>
        <w:jc w:val="both"/>
        <w:rPr>
          <w:kern w:val="0"/>
          <w:szCs w:val="28"/>
          <w:lang w:val="uz-Cyrl-UZ"/>
        </w:rPr>
      </w:pPr>
      <w:r w:rsidRPr="00E25EAB">
        <w:rPr>
          <w:kern w:val="0"/>
          <w:szCs w:val="28"/>
          <w:lang w:val="uz-Cyrl-UZ"/>
        </w:rPr>
        <w:t>государственная поддержка сельского хозяйства и полная закупка продукции в рамках государственных закупок;</w:t>
      </w:r>
    </w:p>
    <w:p w:rsidR="00E25EAB" w:rsidRPr="00E25EAB" w:rsidRDefault="00E25EAB" w:rsidP="00E25EAB">
      <w:pPr>
        <w:spacing w:after="0" w:line="360" w:lineRule="auto"/>
        <w:ind w:firstLine="720"/>
        <w:jc w:val="both"/>
        <w:rPr>
          <w:kern w:val="0"/>
          <w:szCs w:val="28"/>
          <w:lang w:val="uz-Cyrl-UZ"/>
        </w:rPr>
      </w:pPr>
      <w:r w:rsidRPr="00E25EAB">
        <w:rPr>
          <w:kern w:val="0"/>
          <w:szCs w:val="28"/>
          <w:lang w:val="uz-Cyrl-UZ"/>
        </w:rPr>
        <w:t>поддержание сельскохозяйственного экспорта и увеличение объема продукции с добавленной стоимостью;</w:t>
      </w:r>
    </w:p>
    <w:p w:rsidR="00E25EAB" w:rsidRPr="00E25EAB" w:rsidRDefault="00E25EAB" w:rsidP="00E25EAB">
      <w:pPr>
        <w:spacing w:after="0" w:line="360" w:lineRule="auto"/>
        <w:ind w:firstLine="720"/>
        <w:jc w:val="both"/>
        <w:rPr>
          <w:kern w:val="0"/>
          <w:szCs w:val="28"/>
          <w:lang w:val="uz-Cyrl-UZ"/>
        </w:rPr>
      </w:pPr>
      <w:r w:rsidRPr="00E25EAB">
        <w:rPr>
          <w:kern w:val="0"/>
          <w:szCs w:val="28"/>
          <w:lang w:val="uz-Cyrl-UZ"/>
        </w:rPr>
        <w:t>мониторинг среды сельскохозяйственных услуг;</w:t>
      </w:r>
    </w:p>
    <w:p w:rsidR="00E25EAB" w:rsidRPr="00E25EAB" w:rsidRDefault="00E25EAB" w:rsidP="00E25EAB">
      <w:pPr>
        <w:spacing w:after="0" w:line="360" w:lineRule="auto"/>
        <w:ind w:firstLine="720"/>
        <w:jc w:val="both"/>
        <w:rPr>
          <w:kern w:val="0"/>
          <w:szCs w:val="28"/>
          <w:lang w:val="uz-Cyrl-UZ"/>
        </w:rPr>
      </w:pPr>
      <w:r w:rsidRPr="00E25EAB">
        <w:rPr>
          <w:kern w:val="0"/>
          <w:szCs w:val="28"/>
          <w:lang w:val="uz-Cyrl-UZ"/>
        </w:rPr>
        <w:t>обеспечение точности данных посредством широкого внедрения информационных технологий в сельском хозяйстве и полной цифровизации сельскохозяйственной статистики;</w:t>
      </w:r>
    </w:p>
    <w:p w:rsidR="00C72E31" w:rsidRPr="00DF774B" w:rsidRDefault="00E25EAB" w:rsidP="00E25EAB">
      <w:pPr>
        <w:spacing w:after="0" w:line="360" w:lineRule="auto"/>
        <w:ind w:firstLine="720"/>
        <w:jc w:val="both"/>
        <w:rPr>
          <w:kern w:val="0"/>
          <w:szCs w:val="28"/>
          <w:lang w:val="ru-RU"/>
        </w:rPr>
      </w:pPr>
      <w:r w:rsidRPr="00E25EAB">
        <w:rPr>
          <w:kern w:val="0"/>
          <w:szCs w:val="28"/>
          <w:lang w:val="uz-Cyrl-UZ"/>
        </w:rPr>
        <w:t>кадровые вопросы, научно-техническая революция.</w:t>
      </w:r>
    </w:p>
    <w:p w:rsidR="00C72E31" w:rsidRPr="00C72E31" w:rsidRDefault="0071629C" w:rsidP="00C72E31">
      <w:pPr>
        <w:spacing w:after="0" w:line="360" w:lineRule="auto"/>
        <w:ind w:firstLine="720"/>
        <w:jc w:val="both"/>
        <w:rPr>
          <w:kern w:val="0"/>
          <w:szCs w:val="28"/>
          <w:lang w:val="uz-Cyrl-UZ"/>
        </w:rPr>
      </w:pPr>
      <w:r w:rsidRPr="0071629C">
        <w:rPr>
          <w:kern w:val="0"/>
          <w:szCs w:val="28"/>
          <w:lang w:val="uz-Cyrl-UZ"/>
        </w:rPr>
        <w:t>Конечно, отныне главная цель села – улучшение условий жизни населения, обеспечение его благами. Короче говоря, необходимо полностью отказаться от старой системы труда, которая до сих пор практиковалась в сельском хозяйстве, и радикально реформировать сектор, ставший продуктом сырьевой системы. Потому что пришло время перехода к новой системе труда. Сегодня, 6 сентября, Президент Республики Узбекистан провел совещание, посвященное разработке плана развития на 2020-2030 годы. Цель – улучшение использования сельскохозяйственных земель, повышение эффективности водопользования, совершенствование государственной поддержки сельского хозяйства и системы государственных закупок, увеличение экспортного потенциала сельского хозяйства и повышение добавленной стоимости и объема продукции, создание конкуренции в сфере сельскохозяйственных услуг, внедрение информационных технологий в сельское хозяйство и обеспечение точности данных посредством цифровизации отраслевой статистики, кадровых вопросов и т. д.</w:t>
      </w:r>
    </w:p>
    <w:p w:rsidR="004B386D" w:rsidRPr="00D048A0" w:rsidRDefault="00D048A0" w:rsidP="00D048A0">
      <w:pPr>
        <w:spacing w:after="0" w:line="360" w:lineRule="auto"/>
        <w:jc w:val="center"/>
        <w:rPr>
          <w:b/>
          <w:lang w:val="uz-Cyrl-UZ"/>
        </w:rPr>
      </w:pPr>
      <w:r w:rsidRPr="00D048A0">
        <w:rPr>
          <w:b/>
          <w:kern w:val="0"/>
          <w:szCs w:val="28"/>
          <w:lang w:val="uz-Cyrl-UZ"/>
        </w:rPr>
        <w:lastRenderedPageBreak/>
        <w:t>§ 1.2 Нормативно-правовая база и особенности привлечения инвестиций в сельскохозяйственный сектор</w:t>
      </w:r>
    </w:p>
    <w:p w:rsidR="0071629C" w:rsidRPr="0071629C" w:rsidRDefault="0071629C" w:rsidP="0071629C">
      <w:pPr>
        <w:spacing w:after="0" w:line="360" w:lineRule="auto"/>
        <w:ind w:firstLine="720"/>
        <w:jc w:val="both"/>
        <w:rPr>
          <w:bCs/>
          <w:color w:val="000000"/>
          <w:kern w:val="0"/>
          <w:szCs w:val="28"/>
          <w:shd w:val="clear" w:color="auto" w:fill="FFFFFF"/>
          <w:lang w:val="uz-Cyrl-UZ"/>
        </w:rPr>
      </w:pPr>
      <w:bookmarkStart w:id="8" w:name="_Hlk176817603"/>
      <w:r w:rsidRPr="0071629C">
        <w:rPr>
          <w:bCs/>
          <w:color w:val="000000"/>
          <w:kern w:val="0"/>
          <w:szCs w:val="28"/>
          <w:shd w:val="clear" w:color="auto" w:fill="FFFFFF"/>
          <w:lang w:val="uz-Cyrl-UZ"/>
        </w:rPr>
        <w:t>Сельскохозяйственные инвестиции в аграрный сектор привлекли внимание экономистов сельского хозяйства и сельских районов, которые поддержали производство сельскохозяйственной продукции, повысили производительность труда и укрепили образовательные учреждения. Согласно докладу, «сельскохозяйственная кооперация», «инвесторы», «иностранные инвесторы» являются основой сельскохозяйственной кооперации, и можно рассмотреть конкретную теорию экологического развития. Развитие агропромышленности является важной частью производства других секторов и представляет собой инвестиции в природу, объективность труда и качественное аграрное хозяйство. На наш взгляд, такие инвестиции, как валютные, так и кредитные, необходимы. Роль образования на организационном уровне в инвестировании в образование.</w:t>
      </w:r>
    </w:p>
    <w:p w:rsidR="0071629C" w:rsidRPr="0027090B" w:rsidRDefault="0071629C" w:rsidP="0071629C">
      <w:pPr>
        <w:spacing w:after="0" w:line="360" w:lineRule="auto"/>
        <w:ind w:firstLine="720"/>
        <w:jc w:val="both"/>
        <w:rPr>
          <w:bCs/>
          <w:kern w:val="16"/>
          <w:szCs w:val="28"/>
          <w:lang w:val="uz-Cyrl-UZ"/>
        </w:rPr>
      </w:pPr>
      <w:r w:rsidRPr="0071629C">
        <w:rPr>
          <w:bCs/>
          <w:color w:val="000000"/>
          <w:kern w:val="0"/>
          <w:szCs w:val="28"/>
          <w:shd w:val="clear" w:color="auto" w:fill="FFFFFF"/>
          <w:lang w:val="uz-Cyrl-UZ"/>
        </w:rPr>
        <w:t xml:space="preserve">В сельскохозяйственные инвестиции следует вкладывать средства в механизм инвестирования в стране. В данном стихотворении для определения целесообразности инвестиций необходимы четыре условия, которые по-разному обсуждаются специалистами по охране окружающей среды и экономистами-экологами </w:t>
      </w:r>
      <w:r w:rsidR="0027090B" w:rsidRPr="0027090B">
        <w:rPr>
          <w:bCs/>
          <w:kern w:val="16"/>
          <w:szCs w:val="28"/>
          <w:lang w:val="uz-Cyrl-UZ"/>
        </w:rPr>
        <w:t>(таблица 1.2).</w:t>
      </w:r>
    </w:p>
    <w:p w:rsidR="0027090B" w:rsidRPr="0027090B" w:rsidRDefault="0027090B" w:rsidP="0027090B">
      <w:pPr>
        <w:spacing w:after="0" w:line="259" w:lineRule="auto"/>
        <w:jc w:val="right"/>
        <w:rPr>
          <w:b/>
          <w:kern w:val="0"/>
          <w:sz w:val="26"/>
          <w:szCs w:val="26"/>
          <w:lang w:val="uz-Cyrl-UZ"/>
        </w:rPr>
      </w:pPr>
      <w:r w:rsidRPr="0027090B">
        <w:rPr>
          <w:b/>
          <w:kern w:val="0"/>
          <w:sz w:val="26"/>
          <w:szCs w:val="26"/>
          <w:lang w:val="uz-Cyrl-UZ"/>
        </w:rPr>
        <w:t>Таблица 1.2</w:t>
      </w:r>
    </w:p>
    <w:p w:rsidR="0027090B" w:rsidRDefault="0027090B" w:rsidP="0027090B">
      <w:pPr>
        <w:spacing w:after="0" w:line="259" w:lineRule="auto"/>
        <w:jc w:val="center"/>
        <w:rPr>
          <w:b/>
          <w:kern w:val="0"/>
          <w:sz w:val="26"/>
          <w:szCs w:val="26"/>
          <w:lang w:val="uz-Cyrl-UZ"/>
        </w:rPr>
      </w:pPr>
      <w:r w:rsidRPr="0027090B">
        <w:rPr>
          <w:b/>
          <w:kern w:val="0"/>
          <w:sz w:val="26"/>
          <w:szCs w:val="26"/>
          <w:lang w:val="uz-Cyrl-UZ"/>
        </w:rPr>
        <w:t>Определения, выражающие сущность инвестиций.</w:t>
      </w:r>
      <w:r w:rsidRPr="0027090B">
        <w:rPr>
          <w:b/>
          <w:kern w:val="0"/>
          <w:sz w:val="26"/>
          <w:szCs w:val="26"/>
          <w:vertAlign w:val="superscript"/>
          <w:lang w:val="uz-Cyrl-UZ"/>
        </w:rPr>
        <w:footnoteReference w:id="14"/>
      </w:r>
    </w:p>
    <w:p w:rsidR="0071629C" w:rsidRPr="0027090B" w:rsidRDefault="00F50397" w:rsidP="0027090B">
      <w:pPr>
        <w:spacing w:after="0" w:line="259" w:lineRule="auto"/>
        <w:jc w:val="center"/>
        <w:rPr>
          <w:b/>
          <w:kern w:val="0"/>
          <w:sz w:val="26"/>
          <w:szCs w:val="26"/>
          <w:lang w:val="uz-Cyrl-UZ"/>
        </w:rPr>
      </w:pPr>
      <w:r w:rsidRPr="00877CC4">
        <w:rPr>
          <w:b/>
          <w:noProof/>
          <w:kern w:val="0"/>
          <w:sz w:val="26"/>
          <w:szCs w:val="26"/>
          <w:lang w:val="ru-RU" w:eastAsia="ru-RU"/>
        </w:rPr>
        <w:lastRenderedPageBreak/>
        <w:drawing>
          <wp:inline distT="0" distB="0" distL="0" distR="0">
            <wp:extent cx="5981700" cy="7105650"/>
            <wp:effectExtent l="0" t="0" r="0" b="0"/>
            <wp:docPr id="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81700" cy="7105650"/>
                    </a:xfrm>
                    <a:prstGeom prst="rect">
                      <a:avLst/>
                    </a:prstGeom>
                    <a:noFill/>
                    <a:ln>
                      <a:noFill/>
                    </a:ln>
                  </pic:spPr>
                </pic:pic>
              </a:graphicData>
            </a:graphic>
          </wp:inline>
        </w:drawing>
      </w:r>
    </w:p>
    <w:p w:rsidR="0027090B" w:rsidRPr="0027090B" w:rsidRDefault="0027090B" w:rsidP="0027090B">
      <w:pPr>
        <w:spacing w:after="0" w:line="360" w:lineRule="auto"/>
        <w:ind w:firstLine="720"/>
        <w:jc w:val="both"/>
        <w:rPr>
          <w:bCs/>
          <w:kern w:val="0"/>
          <w:szCs w:val="28"/>
          <w:lang w:val="uz-Cyrl-UZ"/>
        </w:rPr>
      </w:pPr>
      <w:r w:rsidRPr="0027090B">
        <w:rPr>
          <w:bCs/>
          <w:kern w:val="16"/>
          <w:szCs w:val="28"/>
          <w:lang w:val="uz-Cyrl-UZ"/>
        </w:rPr>
        <w:t xml:space="preserve">Значение инвестиций также отражено в Национальной энциклопедии Узбекистана, Толковом словаре узбекского языка и национальном законодательстве. В частности: </w:t>
      </w:r>
      <w:r w:rsidRPr="0027090B">
        <w:rPr>
          <w:bCs/>
          <w:kern w:val="0"/>
          <w:szCs w:val="28"/>
          <w:lang w:val="uz-Cyrl-UZ"/>
        </w:rPr>
        <w:t xml:space="preserve">«инвестиция (лат. investio - упаковывать) - это долгосрочное вложение капитала в различные сектора, социально-экономические программы, инновации, предпринимательские проекты в </w:t>
      </w:r>
      <w:r w:rsidRPr="0027090B">
        <w:rPr>
          <w:bCs/>
          <w:kern w:val="0"/>
          <w:szCs w:val="28"/>
          <w:lang w:val="uz-Cyrl-UZ"/>
        </w:rPr>
        <w:lastRenderedPageBreak/>
        <w:t xml:space="preserve">своей стране или за рубежом с целью развития экономики» </w:t>
      </w:r>
      <w:r w:rsidRPr="0027090B">
        <w:rPr>
          <w:bCs/>
          <w:kern w:val="0"/>
          <w:szCs w:val="28"/>
          <w:vertAlign w:val="superscript"/>
          <w:lang w:val="uz-Cyrl-UZ"/>
        </w:rPr>
        <w:footnoteReference w:id="15"/>
      </w:r>
      <w:r w:rsidRPr="0027090B">
        <w:rPr>
          <w:bCs/>
          <w:kern w:val="0"/>
          <w:szCs w:val="28"/>
          <w:lang w:val="uz-Cyrl-UZ"/>
        </w:rPr>
        <w:t xml:space="preserve">; «инвестиция (нем. investition, лат. investire - одевать, давать) - это инвестирование, вложение капитала в предприятие, конкретный сектор экономики с целью получения прибыли в стране или за рубежом, и сам такой капитал» </w:t>
      </w:r>
      <w:r w:rsidRPr="0027090B">
        <w:rPr>
          <w:bCs/>
          <w:kern w:val="0"/>
          <w:szCs w:val="28"/>
          <w:vertAlign w:val="superscript"/>
          <w:lang w:val="uz-Cyrl-UZ"/>
        </w:rPr>
        <w:footnoteReference w:id="16"/>
      </w:r>
      <w:r w:rsidRPr="0027090B">
        <w:rPr>
          <w:bCs/>
          <w:kern w:val="0"/>
          <w:szCs w:val="28"/>
          <w:lang w:val="uz-Cyrl-UZ"/>
        </w:rPr>
        <w:t xml:space="preserve">; «материальные и нематериальные активы, инвестированные инвестором в объекты социальной сферы, предпринимательства, научной и иной деятельности на основе рисков и прав на них, включая права на объекты интеллектуальной собственности, а также реинвестиции» </w:t>
      </w:r>
      <w:r w:rsidRPr="0027090B">
        <w:rPr>
          <w:bCs/>
          <w:kern w:val="0"/>
          <w:szCs w:val="28"/>
          <w:vertAlign w:val="superscript"/>
          <w:lang w:val="uz-Cyrl-UZ"/>
        </w:rPr>
        <w:footnoteReference w:id="17"/>
      </w:r>
      <w:r w:rsidRPr="0027090B">
        <w:rPr>
          <w:bCs/>
          <w:kern w:val="0"/>
          <w:szCs w:val="28"/>
          <w:lang w:val="uz-Cyrl-UZ"/>
        </w:rPr>
        <w:t>.</w:t>
      </w:r>
    </w:p>
    <w:p w:rsidR="0071629C" w:rsidRPr="0071629C" w:rsidRDefault="0071629C" w:rsidP="0071629C">
      <w:pPr>
        <w:spacing w:after="0" w:line="360" w:lineRule="auto"/>
        <w:ind w:firstLine="720"/>
        <w:jc w:val="both"/>
        <w:rPr>
          <w:bCs/>
          <w:kern w:val="0"/>
          <w:szCs w:val="28"/>
          <w:lang w:val="uz-Cyrl-UZ"/>
        </w:rPr>
      </w:pPr>
      <w:r w:rsidRPr="0071629C">
        <w:rPr>
          <w:bCs/>
          <w:kern w:val="0"/>
          <w:szCs w:val="28"/>
          <w:lang w:val="uz-Cyrl-UZ"/>
        </w:rPr>
        <w:t xml:space="preserve">1.2. Одним из наиболее важных факторов можно выделить следующие: риск, обязательства инвесторов перед менеджментом, инвестиционные цели, тенденции оценки, рыночные тенденции, другие характеристики активов; использование дохода – капитал для получения дохода (прибыли) или социальных благ признается как дальняя ассоциация; управление инвестициями – сочетание приоритетов менеджмента для получения прибыли (дохода) и эффективности управления, цели накопления капитала, сочетание промышленных ресурсов с целью достижения низкой доходности; четвертое, благоприятное влияние инвестиционных фондов и неправительственных некоммерческих организаций; пятое, инвестиции в будущие (возможно, невидимые) ценные минералы с низкой определенной оценкой, отказ от текущего потребления называется инвестициями. Производственные организации мало что знают, инвесторы на различных рынках сейчас сталкиваются с проблемами, связанными с золотом. По нашему мнению, анализ инвестиционного климата направлен на развитие наиболее важных особенностей бельгийской экономики (Income, Samara, Naf). В настоящее время инвесторы рассматривают интересующие их страны, включая, помимо прочих, и эти вопросы всегда несут потенциальные экономические выгоды. Две важные особенности Бельгии – инвестиционный поиск – становятся </w:t>
      </w:r>
      <w:r w:rsidRPr="0071629C">
        <w:rPr>
          <w:bCs/>
          <w:kern w:val="0"/>
          <w:szCs w:val="28"/>
          <w:lang w:val="uz-Cyrl-UZ"/>
        </w:rPr>
        <w:lastRenderedPageBreak/>
        <w:t>общим ресурсным пулом. Фактически, спрос на инвестиции растет, наблюдается сложность и разнообразие в использовании богатства, капитала, недвижимости и интеллектуальных ресурсов. Третий важный аспект – это бельгийское движение Sarmon Movement Blanc Express. В частности, условиями для инвестиций являются переход к экономической активности и эффективности, усиление административных целей и развитие инфраструктуры. Поэтому инвесторы должны быть осведомлены о развитии экономических и сельскохозяйственных целей и возможностях инвестирования в предприятия и ресурсы. Вышеупомянутые экономические принципы, мышление, инвестиционное обучение, организация – описание определения работы предпринимателя: получение (прибыли, дохода) или достижение комбинации целей различных объектов инвестиций в недвижимость. Стоит отметить, что слово «иностранный» в контексте инвестиций, как извне, так и из-за рубежа, обременяет иностранных инвесторов инвестициями, рисками и дополнительными рисками. Согласно балансу, общий процент иностранных инвесторов (прибыль, прибыль) можно сопоставить с экономикой Ирландии. На основе результатов исследования можно отметить два подхода к уточнению содержания обучения иностранным инвестициям в агросекторе: во-первых, анализ мобилизации ресурсов агросектора и товарооборота производства острова.</w:t>
      </w:r>
    </w:p>
    <w:p w:rsidR="0027090B" w:rsidRPr="0027090B" w:rsidRDefault="0071629C" w:rsidP="0071629C">
      <w:pPr>
        <w:spacing w:after="0" w:line="360" w:lineRule="auto"/>
        <w:ind w:firstLine="720"/>
        <w:jc w:val="both"/>
        <w:rPr>
          <w:bCs/>
          <w:kern w:val="0"/>
          <w:szCs w:val="28"/>
          <w:lang w:val="uz-Cyrl-UZ"/>
        </w:rPr>
      </w:pPr>
      <w:r w:rsidRPr="0071629C">
        <w:rPr>
          <w:bCs/>
          <w:kern w:val="0"/>
          <w:szCs w:val="28"/>
          <w:lang w:val="uz-Cyrl-UZ"/>
        </w:rPr>
        <w:t>Помимо влияния конкретных факторов и расчетов на эффективность деятельности организации, исследование инвестиций отличается от исследования инвестиций в сельскохозяйственные предприятия оценкой роли фирм в инвестициях:</w:t>
      </w:r>
    </w:p>
    <w:p w:rsidR="0027090B" w:rsidRPr="0027090B" w:rsidRDefault="0027090B" w:rsidP="00064A36">
      <w:pPr>
        <w:numPr>
          <w:ilvl w:val="0"/>
          <w:numId w:val="1"/>
        </w:numPr>
        <w:tabs>
          <w:tab w:val="left" w:pos="993"/>
        </w:tabs>
        <w:spacing w:after="0" w:line="360" w:lineRule="auto"/>
        <w:ind w:left="0" w:firstLine="720"/>
        <w:jc w:val="both"/>
        <w:rPr>
          <w:bCs/>
          <w:kern w:val="0"/>
          <w:szCs w:val="28"/>
          <w:lang w:val="uz-Cyrl-UZ"/>
        </w:rPr>
      </w:pPr>
      <w:r w:rsidRPr="0027090B">
        <w:rPr>
          <w:bCs/>
          <w:kern w:val="0"/>
          <w:szCs w:val="28"/>
          <w:lang w:val="uz-Cyrl-UZ"/>
        </w:rPr>
        <w:t>Иностранные инвестиции являются дополнительным источником капитала, значительно увеличивающим ресурсы страны для обновления и технического переоснащения основных фондов в сельском хозяйстве, обеспечивающим развитие сельского хозяйства посредством реализации аграрной политики и наполняющим рынок конкурентоспособными товарами и услугами;</w:t>
      </w:r>
    </w:p>
    <w:p w:rsidR="0027090B" w:rsidRPr="0027090B" w:rsidRDefault="0027090B" w:rsidP="00064A36">
      <w:pPr>
        <w:numPr>
          <w:ilvl w:val="0"/>
          <w:numId w:val="1"/>
        </w:numPr>
        <w:tabs>
          <w:tab w:val="left" w:pos="993"/>
        </w:tabs>
        <w:spacing w:after="0" w:line="360" w:lineRule="auto"/>
        <w:ind w:left="0" w:firstLine="720"/>
        <w:jc w:val="both"/>
        <w:rPr>
          <w:bCs/>
          <w:kern w:val="0"/>
          <w:szCs w:val="28"/>
          <w:lang w:val="uz-Cyrl-UZ"/>
        </w:rPr>
      </w:pPr>
      <w:r w:rsidRPr="0027090B">
        <w:rPr>
          <w:bCs/>
          <w:kern w:val="0"/>
          <w:szCs w:val="28"/>
          <w:lang w:val="uz-Cyrl-UZ"/>
        </w:rPr>
        <w:lastRenderedPageBreak/>
        <w:t>Она служит источником финансирования для внедрения передовых технологий, ноу-хау, современных методов управления и маркетинга в сельском хозяйстве, а также положительно влияет на подготовку кадров, способных эффективно использовать новые технологии, рыночные механизмы и международный опыт в агропромышленном секторе;</w:t>
      </w:r>
    </w:p>
    <w:p w:rsidR="0027090B" w:rsidRPr="0027090B" w:rsidRDefault="0027090B" w:rsidP="00064A36">
      <w:pPr>
        <w:numPr>
          <w:ilvl w:val="0"/>
          <w:numId w:val="1"/>
        </w:numPr>
        <w:tabs>
          <w:tab w:val="left" w:pos="993"/>
        </w:tabs>
        <w:spacing w:after="0" w:line="360" w:lineRule="auto"/>
        <w:ind w:left="0" w:firstLine="720"/>
        <w:jc w:val="both"/>
        <w:rPr>
          <w:bCs/>
          <w:kern w:val="0"/>
          <w:szCs w:val="28"/>
          <w:lang w:val="uz-Cyrl-UZ"/>
        </w:rPr>
      </w:pPr>
      <w:r w:rsidRPr="0027090B">
        <w:rPr>
          <w:bCs/>
          <w:kern w:val="0"/>
          <w:szCs w:val="28"/>
          <w:lang w:val="uz-Cyrl-UZ"/>
        </w:rPr>
        <w:t>обеспечивает рентабельность инвестиций иностранных инвесторов в сельскохозяйственный сектор, ускоряет процесс создания благоприятной инвестиционной среды для инвесторов;</w:t>
      </w:r>
    </w:p>
    <w:p w:rsidR="0027090B" w:rsidRPr="0027090B" w:rsidRDefault="0027090B" w:rsidP="00064A36">
      <w:pPr>
        <w:numPr>
          <w:ilvl w:val="0"/>
          <w:numId w:val="1"/>
        </w:numPr>
        <w:tabs>
          <w:tab w:val="left" w:pos="993"/>
        </w:tabs>
        <w:spacing w:after="0" w:line="360" w:lineRule="auto"/>
        <w:ind w:left="0" w:firstLine="720"/>
        <w:jc w:val="both"/>
        <w:rPr>
          <w:bCs/>
          <w:kern w:val="0"/>
          <w:szCs w:val="28"/>
          <w:lang w:val="uz-Cyrl-UZ"/>
        </w:rPr>
      </w:pPr>
      <w:r w:rsidRPr="0027090B">
        <w:rPr>
          <w:bCs/>
          <w:kern w:val="0"/>
          <w:szCs w:val="28"/>
          <w:lang w:val="uz-Cyrl-UZ"/>
        </w:rPr>
        <w:t>Поддерживает развитие эффективных процессов международной интеграции в сельском хозяйстве и умелое использование преимуществ международного разделения труда.</w:t>
      </w:r>
    </w:p>
    <w:bookmarkEnd w:id="8"/>
    <w:p w:rsidR="0071629C" w:rsidRPr="0071629C" w:rsidRDefault="0071629C" w:rsidP="0071629C">
      <w:pPr>
        <w:spacing w:after="0" w:line="360" w:lineRule="auto"/>
        <w:ind w:firstLine="720"/>
        <w:jc w:val="both"/>
        <w:rPr>
          <w:bCs/>
          <w:kern w:val="0"/>
          <w:szCs w:val="28"/>
          <w:lang w:val="uz-Cyrl-UZ"/>
        </w:rPr>
      </w:pPr>
      <w:r w:rsidRPr="0071629C">
        <w:rPr>
          <w:bCs/>
          <w:kern w:val="0"/>
          <w:szCs w:val="28"/>
          <w:lang w:val="uz-Cyrl-UZ"/>
        </w:rPr>
        <w:t>Инвестиции в сельскохозяйственное производство за рубежом, особенно в сельскохозяйственное производство, добычу полезных ископаемых и химическое производство; фермерские и крестьянские розовые хозяйства, агрофирмы и другие сельские корневые сети; сложные сельскохозяйственные продукты имеют большое значение для сбыта, а также для деятельности этих сетей; сельскохозяйственная инфраструктура включена в сетевые сети, их экономика обеспечивает устойчивую деятельность и занятость.</w:t>
      </w:r>
    </w:p>
    <w:p w:rsidR="0071629C" w:rsidRPr="0071629C" w:rsidRDefault="0071629C" w:rsidP="0071629C">
      <w:pPr>
        <w:spacing w:after="0" w:line="360" w:lineRule="auto"/>
        <w:ind w:firstLine="720"/>
        <w:jc w:val="both"/>
        <w:rPr>
          <w:bCs/>
          <w:kern w:val="0"/>
          <w:szCs w:val="28"/>
          <w:lang w:val="uz-Cyrl-UZ"/>
        </w:rPr>
      </w:pPr>
      <w:r w:rsidRPr="0071629C">
        <w:rPr>
          <w:bCs/>
          <w:kern w:val="0"/>
          <w:szCs w:val="28"/>
          <w:lang w:val="uz-Cyrl-UZ"/>
        </w:rPr>
        <w:t xml:space="preserve">Первые научные и теоретические исследования важности инвестиций в аграрное общество были представлены работами Франсуа Кене. Согласно его идее, «только в сельском хозяйстве можно производить «чистые продукты», согласно учениям физиков и экономистов, как силу, обеспечивающую рост, торговлю или производство, возможно, сельское хозяйство. Между тем, необходимо было покупать скот, пахотную технику, семена для земледелия. Мощь мельниц, мощность каналов, сила силы, сила функций, способности мальчиков, сочетание силы и мощи </w:t>
      </w:r>
      <w:r w:rsidR="0027090B" w:rsidRPr="0027090B">
        <w:rPr>
          <w:bCs/>
          <w:kern w:val="0"/>
          <w:szCs w:val="28"/>
          <w:vertAlign w:val="superscript"/>
          <w:lang w:val="uz-Cyrl-UZ"/>
        </w:rPr>
        <w:footnoteReference w:id="18"/>
      </w:r>
      <w:r w:rsidR="0027090B" w:rsidRPr="0027090B">
        <w:rPr>
          <w:bCs/>
          <w:kern w:val="0"/>
          <w:szCs w:val="28"/>
          <w:lang w:val="uz-Cyrl-UZ"/>
        </w:rPr>
        <w:t xml:space="preserve">». Ф. Кене выразил мнение, что усилия и цели финансовых институтов в отношении инвестиционных целей ранних </w:t>
      </w:r>
      <w:r w:rsidR="0027090B" w:rsidRPr="0027090B">
        <w:rPr>
          <w:bCs/>
          <w:kern w:val="0"/>
          <w:szCs w:val="28"/>
          <w:lang w:val="uz-Cyrl-UZ"/>
        </w:rPr>
        <w:lastRenderedPageBreak/>
        <w:t>экономистов следует воспринимать серьезно. Кроме того, инвестиционный бизнес в отношении молодежи привлек внимание макроэкономистов, исходя из благоприятного соотношения социально-экономического развития сельского хозяйства.</w:t>
      </w:r>
    </w:p>
    <w:p w:rsidR="0071629C" w:rsidRPr="0071629C" w:rsidRDefault="0071629C" w:rsidP="0071629C">
      <w:pPr>
        <w:spacing w:after="0" w:line="360" w:lineRule="auto"/>
        <w:ind w:firstLine="720"/>
        <w:jc w:val="both"/>
        <w:rPr>
          <w:bCs/>
          <w:kern w:val="0"/>
          <w:szCs w:val="28"/>
          <w:shd w:val="clear" w:color="auto" w:fill="FFFFFF"/>
          <w:lang w:val="uz-Cyrl-UZ"/>
        </w:rPr>
      </w:pPr>
      <w:r w:rsidRPr="0071629C">
        <w:rPr>
          <w:bCs/>
          <w:kern w:val="0"/>
          <w:szCs w:val="28"/>
          <w:lang w:val="uz-Cyrl-UZ"/>
        </w:rPr>
        <w:t xml:space="preserve">По мнению экономистов М. Донкта, Ф. Чана и А. Сильвестрини, «сельскохозяйственные инвестиции, связанные с поддержкой сельского хозяйства, очень важны для сельскохозяйственного производства, интенсивного развития и производительности сельского хозяйства (услуг) с точки зрения количественной оценки. В развивающихся странах и странах, где средства к существованию фермеров ограничены, фараон должен поощрять экспорт ресурсов для эффективного использования зависимости» </w:t>
      </w:r>
      <w:r w:rsidR="0027090B" w:rsidRPr="0027090B">
        <w:rPr>
          <w:bCs/>
          <w:kern w:val="0"/>
          <w:szCs w:val="28"/>
          <w:shd w:val="clear" w:color="auto" w:fill="FFFFFF"/>
          <w:vertAlign w:val="superscript"/>
          <w:lang w:val="uz-Cyrl-UZ"/>
        </w:rPr>
        <w:footnoteReference w:id="19"/>
      </w:r>
      <w:r w:rsidR="0027090B" w:rsidRPr="0027090B">
        <w:rPr>
          <w:bCs/>
          <w:kern w:val="0"/>
          <w:szCs w:val="28"/>
          <w:shd w:val="clear" w:color="auto" w:fill="FFFFFF"/>
          <w:lang w:val="uz-Cyrl-UZ"/>
        </w:rPr>
        <w:t>. Наконец, Ассоциация по защите дикой природы проводит интенсивные исследования по разработке технологий производства сельскохозяйственной дикой природы, включая инвестиции в капиталовложения в активы по производству сельскохозяйственной дикой природы в области производства оливкового масла.</w:t>
      </w:r>
    </w:p>
    <w:p w:rsidR="0071629C" w:rsidRPr="0071629C" w:rsidRDefault="0071629C" w:rsidP="0071629C">
      <w:pPr>
        <w:spacing w:after="0" w:line="360" w:lineRule="auto"/>
        <w:ind w:firstLine="720"/>
        <w:jc w:val="both"/>
        <w:rPr>
          <w:bCs/>
          <w:kern w:val="0"/>
          <w:szCs w:val="28"/>
          <w:shd w:val="clear" w:color="auto" w:fill="FFFFFF"/>
          <w:lang w:val="uz-Cyrl-UZ"/>
        </w:rPr>
      </w:pPr>
      <w:r w:rsidRPr="0071629C">
        <w:rPr>
          <w:bCs/>
          <w:kern w:val="0"/>
          <w:szCs w:val="28"/>
          <w:shd w:val="clear" w:color="auto" w:fill="FFFFFF"/>
          <w:lang w:val="uz-Cyrl-UZ"/>
        </w:rPr>
        <w:t xml:space="preserve">Экономики независимых стран повысили привлекательность и эффективность инвестиций за счет поддержки сельского хозяйства. В частности, И. Сигидов подчеркивал важность «значимости инвестиций в агропроизводство, необходимого давления на агропроизводственные мощности, машины и оборудование, промышленные предприятия и отрасли промышленности». Оценка народных и региональных потребностей населением и жесткость этой ситуации негативно влияют на развитие агропроизводства. В контексте своего финансового развития химические преимущества капиталистической модернизации сталкиваются с трудностями революционного развития, что заслуживает сравнения </w:t>
      </w:r>
      <w:r w:rsidR="0027090B" w:rsidRPr="0027090B">
        <w:rPr>
          <w:bCs/>
          <w:kern w:val="0"/>
          <w:szCs w:val="28"/>
          <w:shd w:val="clear" w:color="auto" w:fill="FFFFFF"/>
          <w:vertAlign w:val="superscript"/>
          <w:lang w:val="uz-Cyrl-UZ"/>
        </w:rPr>
        <w:footnoteReference w:id="20"/>
      </w:r>
      <w:r w:rsidR="0027090B" w:rsidRPr="0027090B">
        <w:rPr>
          <w:bCs/>
          <w:kern w:val="0"/>
          <w:szCs w:val="28"/>
          <w:shd w:val="clear" w:color="auto" w:fill="FFFFFF"/>
          <w:lang w:val="uz-Cyrl-UZ"/>
        </w:rPr>
        <w:t xml:space="preserve">». На наш взгляд, эта идея И. Сигидова реализуется посредством финансовой поддержки </w:t>
      </w:r>
      <w:r w:rsidR="0027090B" w:rsidRPr="0027090B">
        <w:rPr>
          <w:bCs/>
          <w:kern w:val="0"/>
          <w:szCs w:val="28"/>
          <w:shd w:val="clear" w:color="auto" w:fill="FFFFFF"/>
          <w:lang w:val="uz-Cyrl-UZ"/>
        </w:rPr>
        <w:lastRenderedPageBreak/>
        <w:t xml:space="preserve">агропромышленного комплекса, его модернизации, обновления уставного капитала, расширения объемов производства агропромышленного комплекса и возможностей его коневодства. Это объясняется тем, что в период экономического роста и сложной ситуации, связанной с новыми технологиями, проблемы с продажей товаров и значительные возможности для получения свободных товаров становятся более актуальными для сбора. Бюро, банки и коммерческие банки, лизинговые компании, </w:t>
      </w:r>
      <w:r w:rsidRPr="0071629C">
        <w:rPr>
          <w:bCs/>
          <w:kern w:val="0"/>
          <w:szCs w:val="28"/>
          <w:shd w:val="clear" w:color="auto" w:fill="FFFFFF"/>
          <w:lang w:val="uz-Cyrl-UZ"/>
        </w:rPr>
        <w:t>а также государственные предприятия имеют ограниченный доступ к лизинговым кредитам, а уровень персонала выше, чем, например, в естественных агроэкономических условиях. Коррекционный анализ процентных ставок по лизингу в период слияния увеличивает вкладчиков и инвесторов, интересы банков и лизинговых компаний повышают риск коррупции в операциях лизингового объединения, финансовый риск. В этой связи рассматриваются условия использования лизинга для агропромышленного сектора.</w:t>
      </w:r>
    </w:p>
    <w:p w:rsidR="0027090B" w:rsidRPr="0027090B" w:rsidRDefault="0071629C" w:rsidP="0071629C">
      <w:pPr>
        <w:spacing w:after="0" w:line="360" w:lineRule="auto"/>
        <w:ind w:firstLine="720"/>
        <w:jc w:val="both"/>
        <w:rPr>
          <w:bCs/>
          <w:kern w:val="0"/>
          <w:szCs w:val="28"/>
          <w:shd w:val="clear" w:color="auto" w:fill="FFFFFF"/>
          <w:lang w:val="uz-Cyrl-UZ"/>
        </w:rPr>
      </w:pPr>
      <w:r w:rsidRPr="0071629C">
        <w:rPr>
          <w:bCs/>
          <w:kern w:val="0"/>
          <w:szCs w:val="28"/>
          <w:shd w:val="clear" w:color="auto" w:fill="FFFFFF"/>
          <w:lang w:val="uz-Cyrl-UZ"/>
        </w:rPr>
        <w:t xml:space="preserve">Д. Алимжонова отметила, что «для укрепления экономического роста страны и устойчивого развития необходимо сотрудничество в агропромышленном секторе посредством образовательных инвестиций, направленных на развитие сельского хозяйства. Поэтому необходимо привлекать иностранные инвестиции в агропромышленный сектор в форме создания совместных предприятий </w:t>
      </w:r>
      <w:r w:rsidR="0027090B" w:rsidRPr="0027090B">
        <w:rPr>
          <w:bCs/>
          <w:kern w:val="0"/>
          <w:szCs w:val="28"/>
          <w:shd w:val="clear" w:color="auto" w:fill="FFFFFF"/>
          <w:vertAlign w:val="superscript"/>
          <w:lang w:val="uz-Cyrl-UZ"/>
        </w:rPr>
        <w:footnoteReference w:id="21"/>
      </w:r>
      <w:r w:rsidR="0027090B" w:rsidRPr="0027090B">
        <w:rPr>
          <w:bCs/>
          <w:kern w:val="0"/>
          <w:szCs w:val="28"/>
          <w:shd w:val="clear" w:color="auto" w:fill="FFFFFF"/>
          <w:lang w:val="uz-Cyrl-UZ"/>
        </w:rPr>
        <w:t xml:space="preserve">». Однако существуют специфические требования для привлечения прямых иностранных инвестиций в агропромышленный сектор. В частности, «по определению Международного валютного фонда (МВФ), прямыми иностранными инвестициями считаются инвестиции, при которых иностранный собственник владеет не менее 25 процентами уставного капитала акционерного общества. По законодательству США этот показатель составляет не менее 10 процентов, в странах Европейского союза — 20-25 процентов, в Российской Федерации — 10 процентов, в Канаде, Австралии и Новой Зеландии — 50 процентов ». В </w:t>
      </w:r>
      <w:r w:rsidR="0027090B" w:rsidRPr="0027090B">
        <w:rPr>
          <w:bCs/>
          <w:kern w:val="0"/>
          <w:szCs w:val="28"/>
          <w:shd w:val="clear" w:color="auto" w:fill="FFFFFF"/>
          <w:lang w:val="uz-Cyrl-UZ"/>
        </w:rPr>
        <w:lastRenderedPageBreak/>
        <w:t xml:space="preserve">законодательстве Узбекистана в </w:t>
      </w:r>
      <w:r w:rsidR="0027090B" w:rsidRPr="0027090B">
        <w:rPr>
          <w:bCs/>
          <w:kern w:val="0"/>
          <w:szCs w:val="28"/>
          <w:vertAlign w:val="superscript"/>
        </w:rPr>
        <w:footnoteReference w:id="22"/>
      </w:r>
      <w:r w:rsidR="0027090B" w:rsidRPr="0027090B">
        <w:rPr>
          <w:bCs/>
          <w:kern w:val="0"/>
          <w:szCs w:val="28"/>
          <w:shd w:val="clear" w:color="auto" w:fill="FFFFFF"/>
          <w:lang w:val="uz-Cyrl-UZ"/>
        </w:rPr>
        <w:t xml:space="preserve">качестве прямых иностранных инвестиций признаются «инвестиции иностранного инвестора за счет собственных средств или заемных средств без государственных гарантий, в условиях риска» . </w:t>
      </w:r>
      <w:r w:rsidR="0027090B" w:rsidRPr="0027090B">
        <w:rPr>
          <w:bCs/>
          <w:kern w:val="0"/>
          <w:szCs w:val="28"/>
          <w:shd w:val="clear" w:color="auto" w:fill="FFFFFF"/>
          <w:vertAlign w:val="superscript"/>
          <w:lang w:val="uz-Cyrl-UZ"/>
        </w:rPr>
        <w:footnoteReference w:id="23"/>
      </w:r>
      <w:r w:rsidR="0027090B" w:rsidRPr="0027090B">
        <w:rPr>
          <w:bCs/>
          <w:kern w:val="0"/>
          <w:szCs w:val="28"/>
          <w:shd w:val="clear" w:color="auto" w:fill="FFFFFF"/>
          <w:lang w:val="uz-Cyrl-UZ"/>
        </w:rPr>
        <w:t>На наш взгляд, привлечение прямых иностранных инвестиций в агропромышленный сектор осуществляется путем создания новых предприятий в агропромышленном секторе и приобретения или слияния существующих. В этом случае целью иностранных инвесторов является не только получение дохода, но и расширение сферы влияния, обеспечение взаимных финансовых интересов и получение права непосредственного участия в управлении предприятием.</w:t>
      </w:r>
    </w:p>
    <w:p w:rsidR="0027090B" w:rsidRPr="0027090B" w:rsidRDefault="0027090B" w:rsidP="0027090B">
      <w:pPr>
        <w:spacing w:after="0" w:line="360" w:lineRule="auto"/>
        <w:ind w:firstLine="720"/>
        <w:jc w:val="both"/>
        <w:rPr>
          <w:bCs/>
          <w:kern w:val="0"/>
          <w:szCs w:val="28"/>
          <w:shd w:val="clear" w:color="auto" w:fill="FFFFFF"/>
          <w:lang w:val="uz-Cyrl-UZ"/>
        </w:rPr>
      </w:pPr>
      <w:r w:rsidRPr="0027090B">
        <w:rPr>
          <w:bCs/>
          <w:kern w:val="0"/>
          <w:szCs w:val="28"/>
          <w:shd w:val="clear" w:color="auto" w:fill="FFFFFF"/>
          <w:lang w:val="uz-Cyrl-UZ"/>
        </w:rPr>
        <w:t xml:space="preserve">В своих научных исследованиях К. Чориев высказал мнение об «эффективности инновационного управления развитием аграрного сектора, планирования деятельности крестьян и фермерских хозяйств» </w:t>
      </w:r>
      <w:r w:rsidRPr="0027090B">
        <w:rPr>
          <w:bCs/>
          <w:kern w:val="0"/>
          <w:szCs w:val="28"/>
          <w:shd w:val="clear" w:color="auto" w:fill="FFFFFF"/>
          <w:vertAlign w:val="superscript"/>
        </w:rPr>
        <w:footnoteReference w:id="24"/>
      </w:r>
      <w:r w:rsidRPr="0027090B">
        <w:rPr>
          <w:bCs/>
          <w:kern w:val="0"/>
          <w:szCs w:val="28"/>
          <w:shd w:val="clear" w:color="auto" w:fill="FFFFFF"/>
          <w:lang w:val="uz-Cyrl-UZ"/>
        </w:rPr>
        <w:t xml:space="preserve">. А. Вахабов, основываясь на результатах своих научных исследований, пришел к выводу, что «процесс инвестиций в аграрный сектор должен финансово поддерживаться государством» </w:t>
      </w:r>
      <w:r w:rsidRPr="0027090B">
        <w:rPr>
          <w:bCs/>
          <w:kern w:val="0"/>
          <w:szCs w:val="28"/>
          <w:shd w:val="clear" w:color="auto" w:fill="FFFFFF"/>
          <w:vertAlign w:val="superscript"/>
        </w:rPr>
        <w:footnoteReference w:id="25"/>
      </w:r>
      <w:r w:rsidRPr="0027090B">
        <w:rPr>
          <w:bCs/>
          <w:kern w:val="0"/>
          <w:szCs w:val="28"/>
          <w:shd w:val="clear" w:color="auto" w:fill="FFFFFF"/>
          <w:lang w:val="uz-Cyrl-UZ"/>
        </w:rPr>
        <w:t xml:space="preserve">. Е. Шодмонов, с другой стороны, «обосновал целесообразность усиления практики финансирования инвестиций на лизинговой основе, внедрения продажи зерна и хлопка сверх государственных заказов по фьючерсным контрактам в условиях нестабильности финансового положения аграрных предприятий и ограниченного доступа к источникам финансирования инвестиционных затрат» </w:t>
      </w:r>
      <w:r w:rsidRPr="0027090B">
        <w:rPr>
          <w:bCs/>
          <w:kern w:val="0"/>
          <w:szCs w:val="28"/>
          <w:shd w:val="clear" w:color="auto" w:fill="FFFFFF"/>
          <w:vertAlign w:val="superscript"/>
        </w:rPr>
        <w:footnoteReference w:id="26"/>
      </w:r>
      <w:r w:rsidRPr="0027090B">
        <w:rPr>
          <w:bCs/>
          <w:kern w:val="0"/>
          <w:szCs w:val="28"/>
          <w:shd w:val="clear" w:color="auto" w:fill="FFFFFF"/>
          <w:lang w:val="uz-Cyrl-UZ"/>
        </w:rPr>
        <w:t xml:space="preserve">. Однако теоретические и практические аспекты аграрных инвестиций анализировались вышеупомянутыми учеными в целом, в </w:t>
      </w:r>
      <w:r w:rsidRPr="0027090B">
        <w:rPr>
          <w:bCs/>
          <w:kern w:val="0"/>
          <w:szCs w:val="28"/>
          <w:shd w:val="clear" w:color="auto" w:fill="FFFFFF"/>
          <w:lang w:val="uz-Cyrl-UZ"/>
        </w:rPr>
        <w:lastRenderedPageBreak/>
        <w:t>контексте начального этапа экономических реформ, а иностранные инвестиции, привлекаемые в аграрный сектор в контексте стратегии развития, не были глубоко изучены.</w:t>
      </w:r>
    </w:p>
    <w:p w:rsidR="0027090B" w:rsidRPr="0027090B" w:rsidRDefault="0027090B" w:rsidP="0027090B">
      <w:pPr>
        <w:spacing w:after="0" w:line="360" w:lineRule="auto"/>
        <w:ind w:firstLine="720"/>
        <w:jc w:val="both"/>
        <w:rPr>
          <w:bCs/>
          <w:kern w:val="0"/>
          <w:szCs w:val="28"/>
          <w:lang w:val="uz-Cyrl-UZ"/>
        </w:rPr>
      </w:pPr>
      <w:r w:rsidRPr="0027090B">
        <w:rPr>
          <w:bCs/>
          <w:kern w:val="0"/>
          <w:szCs w:val="28"/>
          <w:lang w:val="uz-Cyrl-UZ"/>
        </w:rPr>
        <w:t>На основании результатов исследования следует отметить, что существуют два подхода к уточнению сущности иностранных инвестиций в аграрный сектор: первый — это совокупность ресурсов, необходимых для воспроизводства основных и оборотных производственных фондов в сельском хозяйстве; второй — это затраты, связанные с целевым формированием основных и оборотных производственных фондов.</w:t>
      </w:r>
    </w:p>
    <w:p w:rsidR="00FA07D7" w:rsidRPr="00FA07D7" w:rsidRDefault="0071629C" w:rsidP="00FA07D7">
      <w:pPr>
        <w:spacing w:after="0" w:line="360" w:lineRule="auto"/>
        <w:ind w:firstLine="720"/>
        <w:jc w:val="both"/>
        <w:rPr>
          <w:bCs/>
          <w:kern w:val="0"/>
          <w:szCs w:val="28"/>
          <w:shd w:val="clear" w:color="auto" w:fill="FFFFFF"/>
          <w:lang w:val="uz-Cyrl-UZ"/>
        </w:rPr>
      </w:pPr>
      <w:r w:rsidRPr="0071629C">
        <w:rPr>
          <w:bCs/>
          <w:kern w:val="0"/>
          <w:szCs w:val="28"/>
          <w:shd w:val="clear" w:color="auto" w:fill="FFFFFF"/>
          <w:lang w:val="uz-Cyrl-UZ"/>
        </w:rPr>
        <w:t xml:space="preserve">Исследования по поддержке аграрного сектора, направленные на изучение инвестиционного интереса при оценке экологических и природоохранных факторов, важны для развития аграрных секторов в сельскохозяйственном производстве. Возможна экспресс-классификация (рис. 1.3). Кроме того, поддержка иностранных инвестиций в аграрный сектор привлекает важных специалистов, и таким образом иностранные инвесторы получают выгоду от инвестиций в устойчивое развитие аграрного производства и природно-климатической среды. Сельское хозяйство должно привлекать инвестиции, укреплять отрасль, стимулировать технико-технологический рост, укреплять экономический рост, увеличивать экспортный рост и стимулировать рост валютных поступлений. Инвестиции в аграрный сектор очень важны для развития, портфеля и совершенствования сельского хозяйства, в частности, аграрные кредиты покрываются программой поддержки развития. Включает в себя оценку бизнес-рисков, оценку и анализ рисков, оценку безопасности, самоопределение, стратегическую оценку инвесторов и лиц, принимающих решения, финансово-экономических координаторов, концепцию рыночной экономики, основные методы дисконтирования, связанные с предварительными весами. Аграрный сектор привлекателен для иностранных инвестиций – это важный сектор экономики, нуждающийся в развитии и модернизации. Этот процесс, переработка, является большим подспорьем в эффективном развитии агропромышленных </w:t>
      </w:r>
      <w:r w:rsidRPr="0071629C">
        <w:rPr>
          <w:bCs/>
          <w:kern w:val="0"/>
          <w:szCs w:val="28"/>
          <w:shd w:val="clear" w:color="auto" w:fill="FFFFFF"/>
          <w:lang w:val="uz-Cyrl-UZ"/>
        </w:rPr>
        <w:lastRenderedPageBreak/>
        <w:t>комплексов. Результаты анализа инвестиционной привлекательности ценных бумаг, товаров, ценных бумаг и рынков могут быть практически количественными.</w:t>
      </w:r>
    </w:p>
    <w:p w:rsidR="0071629C" w:rsidRPr="0071629C" w:rsidRDefault="0071629C" w:rsidP="0071629C">
      <w:pPr>
        <w:spacing w:after="0" w:line="360" w:lineRule="auto"/>
        <w:ind w:firstLine="720"/>
        <w:jc w:val="both"/>
        <w:rPr>
          <w:bCs/>
          <w:kern w:val="0"/>
          <w:szCs w:val="28"/>
          <w:shd w:val="clear" w:color="auto" w:fill="FFFFFF"/>
          <w:lang w:val="uz-Cyrl-UZ"/>
        </w:rPr>
      </w:pPr>
      <w:r w:rsidRPr="0071629C">
        <w:rPr>
          <w:bCs/>
          <w:kern w:val="0"/>
          <w:szCs w:val="28"/>
          <w:shd w:val="clear" w:color="auto" w:fill="FFFFFF"/>
          <w:lang w:val="uz-Cyrl-UZ"/>
        </w:rPr>
        <w:t>Сельскохозяйственный сектор привлекателен для инвестиций — поскольку страны стремятся к трансформации своего сельского хозяйства, новые технологии и диверсификация экономики имеют решающее значение. Исследование инвестиционного рынка подчеркивает важность стратегического развития, партнерства с правительствами, а также разработки и реализации соглашений об инвестиционном климате.</w:t>
      </w:r>
    </w:p>
    <w:p w:rsidR="0071629C" w:rsidRPr="0071629C" w:rsidRDefault="0071629C" w:rsidP="0071629C">
      <w:pPr>
        <w:spacing w:after="0" w:line="360" w:lineRule="auto"/>
        <w:ind w:firstLine="720"/>
        <w:jc w:val="both"/>
        <w:rPr>
          <w:bCs/>
          <w:kern w:val="0"/>
          <w:szCs w:val="28"/>
          <w:shd w:val="clear" w:color="auto" w:fill="FFFFFF"/>
          <w:lang w:val="uz-Cyrl-UZ"/>
        </w:rPr>
      </w:pPr>
      <w:r w:rsidRPr="0071629C">
        <w:rPr>
          <w:bCs/>
          <w:kern w:val="0"/>
          <w:szCs w:val="28"/>
          <w:shd w:val="clear" w:color="auto" w:fill="FFFFFF"/>
          <w:lang w:val="uz-Cyrl-UZ"/>
        </w:rPr>
        <w:t>Фермеры также заинтересованы в изучении иностранных инвестиций и инвестиций в другие виды продукции, а также в вопросах их реализации в городах. Кроме того, иностранные инвестиции в сельское хозяйство, иностранные инвестиции, иностранные ассоциации, рынки Ошиш – все это имело место в городах. Согласно отчету, привлекательность для инвесторов и поддержка сельского хозяйства для инвестиционных рынков играют важную роль при расчете инвестиционных приоритетов. Это будет зависеть от ряда факторов. По его словам, влияние иностранных инвестиций в сельское хозяйство на инвестиционный риск в экономике в целом является значительно положительным (коэффициент 1,4).</w:t>
      </w:r>
    </w:p>
    <w:p w:rsidR="0071629C" w:rsidRPr="0071629C" w:rsidRDefault="0071629C" w:rsidP="0071629C">
      <w:pPr>
        <w:spacing w:after="0" w:line="360" w:lineRule="auto"/>
        <w:ind w:firstLine="720"/>
        <w:jc w:val="both"/>
        <w:rPr>
          <w:bCs/>
          <w:kern w:val="0"/>
          <w:szCs w:val="28"/>
          <w:shd w:val="clear" w:color="auto" w:fill="FFFFFF"/>
          <w:lang w:val="uz-Cyrl-UZ"/>
        </w:rPr>
      </w:pPr>
      <w:r w:rsidRPr="0071629C">
        <w:rPr>
          <w:bCs/>
          <w:kern w:val="0"/>
          <w:szCs w:val="28"/>
          <w:shd w:val="clear" w:color="auto" w:fill="FFFFFF"/>
          <w:lang w:val="uz-Cyrl-UZ"/>
        </w:rPr>
        <w:t xml:space="preserve">Хотя инвестиции в сельское хозяйство привлекают инвесторов, они являются одной из важнейших экономических целей для достижения роста кредитования. Суть инвестиций в сельское хозяйство заключается в инвестировании в агропромышленный сектор с целью достижения высокого дохода и эффективности по истечении определенного периода времени. В агропромышленном секторе заинтересованные стороны (земля, труд и капитал) участвуют в производстве (в интеграции и организации развития страны). Результатом экономического роста арабского рынка является максимальная экономическая ценность инвестиций, то есть чем больше выгода для страны. По словам Матиаса Кормана, генерального секретаря Организации экономического сотрудничества и развития (ОЭСР), </w:t>
      </w:r>
      <w:r w:rsidRPr="0071629C">
        <w:rPr>
          <w:bCs/>
          <w:kern w:val="0"/>
          <w:szCs w:val="28"/>
          <w:shd w:val="clear" w:color="auto" w:fill="FFFFFF"/>
          <w:lang w:val="uz-Cyrl-UZ"/>
        </w:rPr>
        <w:lastRenderedPageBreak/>
        <w:t>«кредитование и инновации в экономике (инвестиции) являются главными проблемами страны». Борьба в мировой экономике в Соединенных Штатах приведет к борьбе в мировой экономике, что, в свою очередь, приведет к росту цен на золото и, возможно, к росту числа инвесторов в экономике. Возможности для обеспечения экономической активности.</w:t>
      </w:r>
    </w:p>
    <w:p w:rsidR="0071629C" w:rsidRPr="0071629C" w:rsidRDefault="0071629C" w:rsidP="0071629C">
      <w:pPr>
        <w:spacing w:after="0" w:line="360" w:lineRule="auto"/>
        <w:ind w:firstLine="720"/>
        <w:jc w:val="both"/>
        <w:rPr>
          <w:bCs/>
          <w:kern w:val="0"/>
          <w:szCs w:val="28"/>
          <w:shd w:val="clear" w:color="auto" w:fill="FFFFFF"/>
          <w:lang w:val="uz-Cyrl-UZ"/>
        </w:rPr>
      </w:pPr>
    </w:p>
    <w:p w:rsidR="0071629C" w:rsidRPr="0071629C" w:rsidRDefault="0071629C" w:rsidP="0071629C">
      <w:pPr>
        <w:spacing w:after="0" w:line="360" w:lineRule="auto"/>
        <w:ind w:firstLine="720"/>
        <w:jc w:val="both"/>
        <w:rPr>
          <w:bCs/>
          <w:kern w:val="0"/>
          <w:szCs w:val="28"/>
          <w:shd w:val="clear" w:color="auto" w:fill="FFFFFF"/>
          <w:lang w:val="uz-Cyrl-UZ"/>
        </w:rPr>
      </w:pPr>
      <w:r w:rsidRPr="0071629C">
        <w:rPr>
          <w:bCs/>
          <w:kern w:val="0"/>
          <w:szCs w:val="28"/>
          <w:shd w:val="clear" w:color="auto" w:fill="FFFFFF"/>
          <w:lang w:val="uz-Cyrl-UZ"/>
        </w:rPr>
        <w:t>Инвестиции в сельскохозяйственные кооперативы являются фактором, влияющим на экономику – это привлечение инвестиций в сельское хозяйство и агропромышленность, которое укрепляет страну и оказывает незначительное влияние на ее экономику. Эти факторы охватывают экономические, социальные, экологические и технологические аспекты. Если для успеха страны необходимы прибыльные инвестиции в агросектор, важно инвестировать именно в эти предприятия.</w:t>
      </w:r>
    </w:p>
    <w:p w:rsidR="0071629C" w:rsidRPr="0071629C" w:rsidRDefault="0071629C" w:rsidP="0071629C">
      <w:pPr>
        <w:spacing w:after="0" w:line="360" w:lineRule="auto"/>
        <w:ind w:firstLine="720"/>
        <w:jc w:val="both"/>
        <w:rPr>
          <w:bCs/>
          <w:kern w:val="0"/>
          <w:szCs w:val="28"/>
          <w:shd w:val="clear" w:color="auto" w:fill="FFFFFF"/>
          <w:lang w:val="uz-Cyrl-UZ"/>
        </w:rPr>
      </w:pPr>
    </w:p>
    <w:p w:rsidR="001D42B0" w:rsidRPr="00FA07D7" w:rsidRDefault="0071629C" w:rsidP="0071629C">
      <w:pPr>
        <w:spacing w:after="0" w:line="360" w:lineRule="auto"/>
        <w:ind w:firstLine="720"/>
        <w:jc w:val="both"/>
        <w:rPr>
          <w:bCs/>
          <w:kern w:val="0"/>
          <w:szCs w:val="28"/>
          <w:shd w:val="clear" w:color="auto" w:fill="FFFFFF"/>
          <w:lang w:val="uz-Cyrl-UZ"/>
        </w:rPr>
      </w:pPr>
      <w:r w:rsidRPr="0071629C">
        <w:rPr>
          <w:bCs/>
          <w:kern w:val="0"/>
          <w:szCs w:val="28"/>
          <w:shd w:val="clear" w:color="auto" w:fill="FFFFFF"/>
          <w:lang w:val="uz-Cyrl-UZ"/>
        </w:rPr>
        <w:t>Размер инвестиционных интересов сельскохозяйственных предприятий влияет на их собственные инвестиционные интересы, что является ключевым показателем их близости к экономике:</w:t>
      </w:r>
    </w:p>
    <w:p w:rsidR="0071629C" w:rsidRPr="0071629C" w:rsidRDefault="0071629C" w:rsidP="0071629C">
      <w:pPr>
        <w:spacing w:after="0" w:line="360" w:lineRule="auto"/>
        <w:ind w:firstLine="720"/>
        <w:jc w:val="both"/>
        <w:rPr>
          <w:bCs/>
          <w:color w:val="000000"/>
          <w:kern w:val="0"/>
          <w:szCs w:val="28"/>
          <w:shd w:val="clear" w:color="auto" w:fill="FFFFFF"/>
          <w:lang w:val="uz-Cyrl-UZ"/>
        </w:rPr>
      </w:pPr>
      <w:r w:rsidRPr="0071629C">
        <w:rPr>
          <w:bCs/>
          <w:color w:val="000000"/>
          <w:kern w:val="0"/>
          <w:szCs w:val="28"/>
          <w:shd w:val="clear" w:color="auto" w:fill="FFFFFF"/>
          <w:lang w:val="uz-Cyrl-UZ"/>
        </w:rPr>
        <w:t>Инвестиционный риск сельскохозяйственных предпринимателей влияет на воздействие государственного и частного секторов на развитие сельского хозяйства в сельской местности и стратегическое развитие экономики страны. Социокультурные факторы, экономические условия, демографические тенденции, экологические условия и технологическое развитие играют важную роль в привлекательности инвестиций. Если эти факторы влияют на платежный баланс, инвестиции в сельскохозяйственный сектор сократятся, и страна потеряет темпы развития.</w:t>
      </w:r>
    </w:p>
    <w:p w:rsidR="0071629C" w:rsidRPr="0071629C" w:rsidRDefault="0071629C" w:rsidP="0071629C">
      <w:pPr>
        <w:spacing w:after="0" w:line="360" w:lineRule="auto"/>
        <w:ind w:firstLine="720"/>
        <w:jc w:val="both"/>
        <w:rPr>
          <w:bCs/>
          <w:color w:val="000000"/>
          <w:kern w:val="0"/>
          <w:szCs w:val="28"/>
          <w:shd w:val="clear" w:color="auto" w:fill="FFFFFF"/>
          <w:lang w:val="uz-Cyrl-UZ"/>
        </w:rPr>
      </w:pPr>
      <w:r w:rsidRPr="0071629C">
        <w:rPr>
          <w:bCs/>
          <w:color w:val="000000"/>
          <w:kern w:val="0"/>
          <w:szCs w:val="28"/>
          <w:shd w:val="clear" w:color="auto" w:fill="FFFFFF"/>
          <w:lang w:val="uz-Cyrl-UZ"/>
        </w:rPr>
        <w:t>Инвестиции в сельскохозяйственные кооперативы играют вспомогательную роль в силу своего статуса, поскольку включают инвестиции в сельскохозяйственное образование, оказывая положительное влияние на различные факторы.</w:t>
      </w:r>
    </w:p>
    <w:p w:rsidR="007C66ED" w:rsidRPr="007C66ED" w:rsidRDefault="0071629C" w:rsidP="007C66ED">
      <w:pPr>
        <w:spacing w:after="0" w:line="360" w:lineRule="auto"/>
        <w:ind w:firstLine="720"/>
        <w:jc w:val="both"/>
        <w:rPr>
          <w:bCs/>
          <w:color w:val="000000"/>
          <w:kern w:val="0"/>
          <w:szCs w:val="28"/>
          <w:shd w:val="clear" w:color="auto" w:fill="FFFFFF"/>
          <w:lang w:val="uz-Cyrl-UZ"/>
        </w:rPr>
      </w:pPr>
      <w:r w:rsidRPr="0071629C">
        <w:rPr>
          <w:bCs/>
          <w:color w:val="000000"/>
          <w:kern w:val="0"/>
          <w:szCs w:val="28"/>
          <w:shd w:val="clear" w:color="auto" w:fill="FFFFFF"/>
          <w:lang w:val="uz-Cyrl-UZ"/>
        </w:rPr>
        <w:lastRenderedPageBreak/>
        <w:t xml:space="preserve">Научный комитет Продовольственной и сельскохозяйственной организации ООН (ФАО) заявил, что «инвестиции в важные виды дикой природы должны оказывать положительное воздействие на окружающую среду (окружающая среда, природные ресурсы и развитие). (Растущий рынок и т. д.) Продукты питания являются конкурентоспособными членами группы </w:t>
      </w:r>
      <w:r w:rsidR="0027090B" w:rsidRPr="0027090B">
        <w:rPr>
          <w:bCs/>
          <w:color w:val="000000"/>
          <w:kern w:val="0"/>
          <w:szCs w:val="28"/>
          <w:shd w:val="clear" w:color="auto" w:fill="FFFFFF"/>
          <w:vertAlign w:val="superscript"/>
          <w:lang w:val="uz-Cyrl-UZ"/>
        </w:rPr>
        <w:footnoteReference w:id="27"/>
      </w:r>
      <w:r w:rsidR="0027090B" w:rsidRPr="0027090B">
        <w:rPr>
          <w:bCs/>
          <w:color w:val="000000"/>
          <w:kern w:val="0"/>
          <w:szCs w:val="28"/>
          <w:shd w:val="clear" w:color="auto" w:fill="FFFFFF"/>
          <w:lang w:val="uz-Cyrl-UZ"/>
        </w:rPr>
        <w:t>». В действительности, хотя сельскохозяйственные инвестиции должны привлекать инвестиционный капитал для развития сельскохозяйственного производства, страны играют важную роль в осуществлении долгосрочных инвестиций.</w:t>
      </w:r>
    </w:p>
    <w:p w:rsidR="007C66ED" w:rsidRPr="007C66ED" w:rsidRDefault="007C66ED" w:rsidP="007C66ED">
      <w:pPr>
        <w:spacing w:after="0" w:line="360" w:lineRule="auto"/>
        <w:ind w:firstLine="720"/>
        <w:jc w:val="both"/>
        <w:rPr>
          <w:bCs/>
          <w:color w:val="000000"/>
          <w:kern w:val="0"/>
          <w:szCs w:val="28"/>
          <w:shd w:val="clear" w:color="auto" w:fill="FFFFFF"/>
          <w:lang w:val="uz-Cyrl-UZ"/>
        </w:rPr>
      </w:pPr>
    </w:p>
    <w:p w:rsidR="007C66ED" w:rsidRP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t>Приток и отток иностранных инвесторов на рынок (доход, прибыль) могут быть связаны с экономикой Эрис. Сущность капитала иностранных инвестиций представлена зимой.</w:t>
      </w:r>
    </w:p>
    <w:p w:rsid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t>В нынешних условиях сельскохозяйственная солидарность должна быть направлена на создание теневых и инвестиционных кордонов, а сельскохозяйственная политика, необходимая для развития инфраструктуры, должна способствовать практическому, правовому и юридическому джихаду.</w:t>
      </w:r>
    </w:p>
    <w:p w:rsidR="007C66ED" w:rsidRP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t>– Местные органы власти, государственные органы и другие соответствующие контролирующие структуры в районах деятельности сельскохозяйственных предприятий, в основном, административные и муниципальные, оказывают на них свое влияние;</w:t>
      </w:r>
    </w:p>
    <w:p w:rsidR="007C66ED" w:rsidRP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t>– Для обеспечения бесперебойной работы, финансовая и экономическая деятельность хозяйства может быть обеспечена за счет средств, полученных от ревалистов, в течение двух лет с момента исключения его из государственного реестра;</w:t>
      </w:r>
    </w:p>
    <w:p w:rsidR="007C66ED" w:rsidRP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t xml:space="preserve">– фермеры и фермерские хозяйства производят продукцию для продажи на внутреннем рынке и прямых продаж организации, рынок и рыночная </w:t>
      </w:r>
      <w:r w:rsidRPr="007C66ED">
        <w:rPr>
          <w:bCs/>
          <w:color w:val="000000"/>
          <w:kern w:val="0"/>
          <w:szCs w:val="28"/>
          <w:shd w:val="clear" w:color="auto" w:fill="FFFFFF"/>
          <w:lang w:val="uz-Cyrl-UZ"/>
        </w:rPr>
        <w:lastRenderedPageBreak/>
        <w:t>стоимость бумаги на валютном рынке, рынок и рыночная стоимость бумаги на валютном рынке – высокорискованная группа фермеров, собственные приоритеты, кооперативы, государственная переходная ассоциация, механизм финансирования, управление долгом, банковский сектор Тихуаны, этот низкий кредитный перевод, счет триданан рис;</w:t>
      </w:r>
    </w:p>
    <w:p w:rsidR="007C66ED" w:rsidRP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t>- относительный рост ВВП в результате повышения инвестиционной привлекательности и кредитования и снижения темпов инвестиций (например, доход от независимых инвестиций относительно производственных инвестиций, например, в машиностроение). Другие источники (как внутренние, так и внешние) включают расчет конкурентных возможностей. Влияние экономической деятельности на инвестиции детей, как правило, является статистически значимым показателем иностранных инвестиций; - экономическое развитие организаций приводит к интеграции промышленных ресурсов в сферу экономических инвестиций с целью стимулирования экономического роста, сельского хозяйства, агрокооперативов, предпринимательства, эффективной и недорогой технической поддержки с необходимыми гарантиями (такая техническая поддержка находится в стране Чикорила Башкланд).</w:t>
      </w:r>
    </w:p>
    <w:p w:rsidR="00497258"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t>Однако в случае фермера, имеющего возможность самостоятельно и свободно решать, какую продукцию производить на своей земле, в каком количестве, для кого, когда и по какой цене, возможно повышение рентабельности и высокой эффективности производства. Это подтверждается также ролью этих хозяйствующих субъектов в экономическом развитии аграрного сектора сегодня.</w:t>
      </w:r>
    </w:p>
    <w:p w:rsidR="007C66ED" w:rsidRPr="00FA07D7" w:rsidRDefault="007C66ED" w:rsidP="007C66ED">
      <w:pPr>
        <w:spacing w:after="0" w:line="360" w:lineRule="auto"/>
        <w:ind w:firstLine="720"/>
        <w:jc w:val="both"/>
        <w:rPr>
          <w:bCs/>
          <w:kern w:val="0"/>
          <w:szCs w:val="28"/>
          <w:lang w:val="uz-Cyrl-UZ"/>
        </w:rPr>
      </w:pPr>
    </w:p>
    <w:p w:rsidR="00497258" w:rsidRPr="00DF774B" w:rsidRDefault="00497258" w:rsidP="00497258">
      <w:pPr>
        <w:spacing w:after="0" w:line="360" w:lineRule="auto"/>
        <w:ind w:firstLine="720"/>
        <w:jc w:val="both"/>
        <w:rPr>
          <w:b/>
          <w:kern w:val="0"/>
          <w:szCs w:val="28"/>
          <w:lang w:val="ru-RU"/>
        </w:rPr>
      </w:pPr>
      <w:r w:rsidRPr="00497258">
        <w:rPr>
          <w:b/>
          <w:kern w:val="0"/>
          <w:szCs w:val="28"/>
          <w:lang w:val="uz-Cyrl-UZ"/>
        </w:rPr>
        <w:t>§ 1.3 Передовой зарубежный опыт привлечения инвестиций в сельскохозяйственный сектор</w:t>
      </w:r>
    </w:p>
    <w:p w:rsidR="007C66ED" w:rsidRPr="007C66ED" w:rsidRDefault="007C66ED" w:rsidP="007C66ED">
      <w:pPr>
        <w:spacing w:after="0" w:line="360" w:lineRule="auto"/>
        <w:ind w:firstLine="720"/>
        <w:jc w:val="both"/>
        <w:rPr>
          <w:bCs/>
          <w:kern w:val="0"/>
          <w:szCs w:val="28"/>
          <w:lang w:val="uz-Cyrl-UZ"/>
        </w:rPr>
      </w:pPr>
      <w:r w:rsidRPr="007C66ED">
        <w:rPr>
          <w:bCs/>
          <w:kern w:val="0"/>
          <w:szCs w:val="28"/>
          <w:lang w:val="uz-Cyrl-UZ"/>
        </w:rPr>
        <w:t xml:space="preserve">Инвестиции играют важную роль в развитии экономики Узбекистана. В нашей республике необходимо модернизировать и восстанавливать производительные силы, но при этом соблюдать правила инвестирования. </w:t>
      </w:r>
      <w:r w:rsidRPr="007C66ED">
        <w:rPr>
          <w:bCs/>
          <w:kern w:val="0"/>
          <w:szCs w:val="28"/>
          <w:lang w:val="uz-Cyrl-UZ"/>
        </w:rPr>
        <w:lastRenderedPageBreak/>
        <w:t>Стратегическое экономическое развитие рассчитывает влияние экономического развития на структуру страны. Однако рост экономики за счет индустриализации и использования природных ресурсов является основным фактором роста экономики благодаря высокому спросу на инвестиции в экономику страны. Дефицит, сельскохозяйственный и лесной секторы в Бельгии, сельскохозяйственное неравенство, сокращение экономических секторов, производственные предприятия сырья и сельскохозяйственной продукции, экономический рейтинг системы обеспечения производства, рост производства. Факторы, такие как рентабельность в промышленности, рейтинг предприятий, отчет об инвестициях, некоммерческие организации, кооперативы, коллективные договоры, объем инвестиций, экономический рост, оливковая ветвь.</w:t>
      </w:r>
    </w:p>
    <w:p w:rsidR="007C66ED" w:rsidRPr="007C66ED" w:rsidRDefault="007C66ED" w:rsidP="007C66ED">
      <w:pPr>
        <w:spacing w:after="0" w:line="360" w:lineRule="auto"/>
        <w:ind w:firstLine="720"/>
        <w:jc w:val="both"/>
        <w:rPr>
          <w:bCs/>
          <w:kern w:val="0"/>
          <w:szCs w:val="28"/>
          <w:lang w:val="uz-Cyrl-UZ"/>
        </w:rPr>
      </w:pPr>
      <w:r w:rsidRPr="007C66ED">
        <w:rPr>
          <w:bCs/>
          <w:kern w:val="0"/>
          <w:szCs w:val="28"/>
          <w:lang w:val="uz-Cyrl-UZ"/>
        </w:rPr>
        <w:t>Несмотря на негативные последствия для отрасли, правительство отреагировало на эти проблемы благодаря сочетанию промышленной политики, разработанной в ходе усилий по укреплению и развитию экономики страны. Однако, по словам г-на Голдена, проблемы в экономике затронули и население страны.</w:t>
      </w:r>
    </w:p>
    <w:p w:rsidR="007C66ED" w:rsidRPr="007C66ED" w:rsidRDefault="007C66ED" w:rsidP="007C66ED">
      <w:pPr>
        <w:spacing w:after="0" w:line="360" w:lineRule="auto"/>
        <w:ind w:firstLine="720"/>
        <w:jc w:val="both"/>
        <w:rPr>
          <w:bCs/>
          <w:kern w:val="0"/>
          <w:szCs w:val="28"/>
          <w:lang w:val="uz-Cyrl-UZ"/>
        </w:rPr>
      </w:pPr>
      <w:r w:rsidRPr="007C66ED">
        <w:rPr>
          <w:bCs/>
          <w:kern w:val="0"/>
          <w:szCs w:val="28"/>
          <w:lang w:val="uz-Cyrl-UZ"/>
        </w:rPr>
        <w:t>В этой связи Республика Узбекистан продолжает вовлекать граждан и молодежь в региональный опыт, поскольку государственный опыт направлен на развитие потребностей организации в будущем. Соответственно, необходимо учитывать деятельность Комитета по развитию инвестиций в критически важные проекты, Ассоциации содействия сетевым корпоративным инвестициям, Ассоциации содействия опыту, Ассоциации экономического развития Республики Узбекистан, а также вопросы содействия инвестициям в экономическое развитие, процентные и инвестиционные цели, финансовое развитие, методы экономического развития, ситуацию с выходом из островного сектора.</w:t>
      </w:r>
    </w:p>
    <w:p w:rsidR="007C66ED" w:rsidRPr="007C66ED" w:rsidRDefault="007C66ED" w:rsidP="007C66ED">
      <w:pPr>
        <w:spacing w:after="0" w:line="360" w:lineRule="auto"/>
        <w:ind w:firstLine="720"/>
        <w:jc w:val="both"/>
        <w:rPr>
          <w:bCs/>
          <w:kern w:val="0"/>
          <w:szCs w:val="28"/>
          <w:lang w:val="uz-Cyrl-UZ"/>
        </w:rPr>
      </w:pPr>
      <w:r w:rsidRPr="007C66ED">
        <w:rPr>
          <w:bCs/>
          <w:kern w:val="0"/>
          <w:szCs w:val="28"/>
          <w:lang w:val="uz-Cyrl-UZ"/>
        </w:rPr>
        <w:t xml:space="preserve">Если мировой опыт верен, развивающимся странам будет сложно инвестировать в крупные экономики. Например, в Великобритании названия </w:t>
      </w:r>
      <w:r w:rsidRPr="007C66ED">
        <w:rPr>
          <w:bCs/>
          <w:kern w:val="0"/>
          <w:szCs w:val="28"/>
          <w:lang w:val="uz-Cyrl-UZ"/>
        </w:rPr>
        <w:lastRenderedPageBreak/>
        <w:t>стихотворений были изменены в 1971 году. Нынешняя девушка использовала масштабные экономические субсидии, чтобы сделать мясо дешевле.</w:t>
      </w:r>
    </w:p>
    <w:p w:rsidR="007C66ED" w:rsidRPr="007C66ED" w:rsidRDefault="007C66ED" w:rsidP="007C66ED">
      <w:pPr>
        <w:spacing w:after="0" w:line="360" w:lineRule="auto"/>
        <w:ind w:firstLine="720"/>
        <w:jc w:val="both"/>
        <w:rPr>
          <w:bCs/>
          <w:kern w:val="0"/>
          <w:szCs w:val="28"/>
          <w:lang w:val="uz-Cyrl-UZ"/>
        </w:rPr>
      </w:pPr>
      <w:r w:rsidRPr="007C66ED">
        <w:rPr>
          <w:bCs/>
          <w:kern w:val="0"/>
          <w:szCs w:val="28"/>
          <w:lang w:val="uz-Cyrl-UZ"/>
        </w:rPr>
        <w:t>Как показано, опыт сельскохозяйственной экономической юриспруденции основан на расчете экономической жизни. В Соединенных Штатах, Нидерландах и в ассоциациях сельскохозяйственных государств, объединяющих производителей риса, расчеты производятся с использованием контрактов, предусматривающих выполнение прямого, но тяжелого труда в секторе сбора урожая.</w:t>
      </w:r>
    </w:p>
    <w:p w:rsidR="007C66ED" w:rsidRPr="007C66ED" w:rsidRDefault="007C66ED" w:rsidP="007C66ED">
      <w:pPr>
        <w:spacing w:after="0" w:line="360" w:lineRule="auto"/>
        <w:ind w:firstLine="720"/>
        <w:jc w:val="both"/>
        <w:rPr>
          <w:bCs/>
          <w:kern w:val="0"/>
          <w:szCs w:val="28"/>
          <w:lang w:val="uz-Cyrl-UZ"/>
        </w:rPr>
      </w:pPr>
      <w:r w:rsidRPr="007C66ED">
        <w:rPr>
          <w:bCs/>
          <w:kern w:val="0"/>
          <w:szCs w:val="28"/>
          <w:lang w:val="uz-Cyrl-UZ"/>
        </w:rPr>
        <w:t>Известный экономист П. Самуэльсон рассматривает экономический кризис в США следующим образом: анализ, кризисное экономическое развитие, основные потребности стран и реальные права стран; влияние Иобиана на реализацию программ; переработка, вспомогательное производство; повышение цен на землю; вынужденное подчинение женщин на Майдане конституции; подчеркивая, что прямая помощь должна заключаться в предоставлении государственной поддержки. Однако, по мнению автора, помощь необходимо оказывать только субсидируемым фермерским хозяйствам, которым сложно оказывать прямую помощь.</w:t>
      </w:r>
    </w:p>
    <w:p w:rsidR="00497258" w:rsidRPr="007B5108" w:rsidRDefault="007C66ED" w:rsidP="007C66ED">
      <w:pPr>
        <w:spacing w:after="0" w:line="360" w:lineRule="auto"/>
        <w:ind w:firstLine="720"/>
        <w:jc w:val="both"/>
        <w:rPr>
          <w:rFonts w:eastAsia="Times New Roman"/>
          <w:kern w:val="0"/>
          <w:szCs w:val="28"/>
          <w:lang w:val="uz-Cyrl-UZ"/>
        </w:rPr>
      </w:pPr>
      <w:r w:rsidRPr="007C66ED">
        <w:rPr>
          <w:bCs/>
          <w:kern w:val="0"/>
          <w:szCs w:val="28"/>
          <w:lang w:val="uz-Cyrl-UZ"/>
        </w:rPr>
        <w:t>Сегодня, в условиях растущего государственного внимания к материальному ущербу сельскому хозяйству, по объему товаропроизводства (годовой объем производства 100 тысяч долларов) фермер в 46,2 раза чаще использует бинокли, технику и в 44 раза чаще – тракторы и в 26 раз чаще – сельскохозяйственную технику. Вторыми по величине группами таких фермеров являются: образование (74 голоса), горнодобывающая промышленность (78 голосов), переработка полезных ископаемых (63 голоса), энергетика (57 голосов). Тот факт, что в США вероятность затопления для сельского хозяйства в 96 раз выше, а вероятность выселения в 50 раз выше, является результатом анализа социальной активности, специализации и корреляционных расчетов.</w:t>
      </w:r>
    </w:p>
    <w:p w:rsidR="007C66ED" w:rsidRPr="00DF774B" w:rsidRDefault="007C66ED" w:rsidP="007C66ED">
      <w:pPr>
        <w:spacing w:after="0" w:line="360" w:lineRule="auto"/>
        <w:ind w:firstLine="720"/>
        <w:jc w:val="both"/>
        <w:rPr>
          <w:kern w:val="0"/>
          <w:szCs w:val="28"/>
          <w:lang w:val="ru-RU"/>
        </w:rPr>
      </w:pPr>
      <w:r w:rsidRPr="00DF774B">
        <w:rPr>
          <w:kern w:val="0"/>
          <w:szCs w:val="28"/>
          <w:lang w:val="ru-RU"/>
        </w:rPr>
        <w:t xml:space="preserve">Я твердо верю в успех фермерского хозяйства в США, ведь для его создания требуются небольшие капиталовложения. По данным анализа </w:t>
      </w:r>
      <w:r w:rsidRPr="00DF774B">
        <w:rPr>
          <w:kern w:val="0"/>
          <w:szCs w:val="28"/>
          <w:lang w:val="ru-RU"/>
        </w:rPr>
        <w:lastRenderedPageBreak/>
        <w:t>американских экспертов, в 1980-х годах для создания фермерского хозяйства в среднем требовалось 500 тысяч долларов США в качестве уставного капитала и 100 тысяч долларов США в качестве оборотного капитала. До начала 1950-х годов финансирование сельского хозяйства в США осуществлялось в основном за счет собственных накопленных средств, но в последующие годы роль заемного капитала резко возросла. Если в 1950 году годовая доля кредитов в финансировании фермеров составляла 12 процентов, то в 1990 году она превысила 40 процентов. Получить кредит по американской кредитной карте можно за 35-70 минут.</w:t>
      </w:r>
    </w:p>
    <w:p w:rsidR="007C66ED" w:rsidRPr="00DF774B" w:rsidRDefault="007C66ED" w:rsidP="007C66ED">
      <w:pPr>
        <w:spacing w:after="0" w:line="360" w:lineRule="auto"/>
        <w:ind w:firstLine="720"/>
        <w:jc w:val="both"/>
        <w:rPr>
          <w:kern w:val="0"/>
          <w:szCs w:val="28"/>
          <w:lang w:val="ru-RU"/>
        </w:rPr>
      </w:pPr>
      <w:r w:rsidRPr="00DF774B">
        <w:rPr>
          <w:kern w:val="0"/>
          <w:szCs w:val="28"/>
          <w:lang w:val="ru-RU"/>
        </w:rPr>
        <w:t>Кредит играет важную роль в развитии сельского хозяйства. Тот, кто верит в истину и считает других праведными, как праведники, не удовлетворится познанием истинных самаритян. Система сельскохозяйственного кредитования включает в себя кредитные банки, кооперативные банки, отделения фермерских банков, сельскохозяйственные кредитные ассоциации, федеральные кредитные ассоциации, страховые компании и другие частные фермерские хозяйства.</w:t>
      </w:r>
    </w:p>
    <w:p w:rsidR="007C66ED" w:rsidRPr="00DF774B" w:rsidRDefault="007C66ED" w:rsidP="007C66ED">
      <w:pPr>
        <w:spacing w:after="0" w:line="360" w:lineRule="auto"/>
        <w:ind w:firstLine="720"/>
        <w:jc w:val="both"/>
        <w:rPr>
          <w:kern w:val="0"/>
          <w:szCs w:val="28"/>
          <w:lang w:val="ru-RU"/>
        </w:rPr>
      </w:pPr>
      <w:r w:rsidRPr="00DF774B">
        <w:rPr>
          <w:kern w:val="0"/>
          <w:szCs w:val="28"/>
          <w:lang w:val="ru-RU"/>
        </w:rPr>
        <w:t>Эффективное управление сельским хозяйством основано на балансе между прямой и косвенной поддержкой. В остальном, Соединенные Штаты четко определяют конкретные цели и направления поддержки сельского хозяйства, а именно: защита национального производства сельскохозяйственной продукции от реальной помощи; стремление к самообеспечению путем реального производства; содействие экспорту сельскохозяйственной продукции; предоставление поддержки сельскому хозяйству, основанной на реальном производстве сельскохозяйственной продукции; солнечный свет есть солнечный свет, а луна есть лунный свет.</w:t>
      </w:r>
    </w:p>
    <w:p w:rsidR="007C66ED" w:rsidRPr="00DF774B" w:rsidRDefault="007C66ED" w:rsidP="007C66ED">
      <w:pPr>
        <w:spacing w:after="0" w:line="360" w:lineRule="auto"/>
        <w:ind w:firstLine="720"/>
        <w:jc w:val="both"/>
        <w:rPr>
          <w:kern w:val="0"/>
          <w:szCs w:val="28"/>
          <w:lang w:val="ru-RU"/>
        </w:rPr>
      </w:pPr>
      <w:r w:rsidRPr="00DF774B">
        <w:rPr>
          <w:kern w:val="0"/>
          <w:szCs w:val="28"/>
          <w:lang w:val="ru-RU"/>
        </w:rPr>
        <w:t xml:space="preserve">В качестве эффективного средства экономической поддержки фермерских хозяйств широко используются компенсационные выплаты в размере разницы между закупочной и рыночной ценой единицы продукции. Иными словами, государство компенсирует убытки, вызванные обстоятельствами, а основные субсидии выплачиваются на производство на </w:t>
      </w:r>
      <w:r w:rsidRPr="00DF774B">
        <w:rPr>
          <w:kern w:val="0"/>
          <w:szCs w:val="28"/>
          <w:lang w:val="ru-RU"/>
        </w:rPr>
        <w:lastRenderedPageBreak/>
        <w:t>землях, используемых в сельском хозяйстве. Кроме того, субсидируется хранение, мелиорация и лесопосадки зерна на фермах.</w:t>
      </w:r>
    </w:p>
    <w:p w:rsidR="007C66ED" w:rsidRPr="00DF774B" w:rsidRDefault="007C66ED" w:rsidP="007C66ED">
      <w:pPr>
        <w:spacing w:after="0" w:line="360" w:lineRule="auto"/>
        <w:ind w:firstLine="720"/>
        <w:jc w:val="both"/>
        <w:rPr>
          <w:kern w:val="0"/>
          <w:szCs w:val="28"/>
          <w:lang w:val="ru-RU"/>
        </w:rPr>
      </w:pPr>
      <w:r w:rsidRPr="00DF774B">
        <w:rPr>
          <w:kern w:val="0"/>
          <w:szCs w:val="28"/>
          <w:lang w:val="ru-RU"/>
        </w:rPr>
        <w:t>Государственная земельная администрация ежедневно проводит налоговую политику в отношении сельского хозяйства. Сумма всех видов налоговых платежей в среднем в 3-5 раз превышает темпы роста различных сельскохозяйственных предприятий. Налоговая ставка на фермерские хозяйства в стране относительно низкая по сравнению с другими секторами населения. Однако в экономике США, даже при рассмотрении вопроса о развитии субсидий, не было ни одного голоса в пользу централизованной поддержки сельского хозяйства.</w:t>
      </w:r>
    </w:p>
    <w:p w:rsidR="007C66ED" w:rsidRPr="00DF774B" w:rsidRDefault="007C66ED" w:rsidP="007C66ED">
      <w:pPr>
        <w:spacing w:after="0" w:line="360" w:lineRule="auto"/>
        <w:ind w:firstLine="720"/>
        <w:jc w:val="both"/>
        <w:rPr>
          <w:kern w:val="0"/>
          <w:szCs w:val="28"/>
          <w:lang w:val="ru-RU"/>
        </w:rPr>
      </w:pPr>
      <w:r w:rsidRPr="00DF774B">
        <w:rPr>
          <w:kern w:val="0"/>
          <w:szCs w:val="28"/>
          <w:lang w:val="ru-RU"/>
        </w:rPr>
        <w:t>Сельскохозяйственное производство — это одна снежинка, другая — две снежинки: движимое и недвижимое имущество делится на две части. В американском сельскохозяйственном секторе кредитование корпораций и сельскохозяйственное производство напрямую не связаны, большую роль играют кредиты на строительство жилья, которые занимают многие предприятия.</w:t>
      </w:r>
    </w:p>
    <w:p w:rsidR="007C66ED" w:rsidRPr="00DF774B" w:rsidRDefault="007C66ED" w:rsidP="007C66ED">
      <w:pPr>
        <w:spacing w:after="0" w:line="360" w:lineRule="auto"/>
        <w:ind w:firstLine="720"/>
        <w:jc w:val="both"/>
        <w:rPr>
          <w:kern w:val="0"/>
          <w:szCs w:val="28"/>
          <w:lang w:val="ru-RU"/>
        </w:rPr>
      </w:pPr>
      <w:r w:rsidRPr="00DF774B">
        <w:rPr>
          <w:kern w:val="0"/>
          <w:szCs w:val="28"/>
          <w:lang w:val="ru-RU"/>
        </w:rPr>
        <w:t>Агентство по оказанию помощи фермерам Министерства сельского хозяйства США отвечает за предоставление займов и финансовой поддержки фермерам и другим сельским жителям, занимающимся производством, для получения кредитов на ведение и развитие своих хозяйств. Это агентство также гарантирует займы от других кредиторов. С этой целью более 50 процентов помощи, предоставляемой фермерам, предоставляется в качестве гарантии по кредиту.</w:t>
      </w:r>
    </w:p>
    <w:p w:rsidR="007C66ED" w:rsidRPr="00DF774B" w:rsidRDefault="007C66ED" w:rsidP="007C66ED">
      <w:pPr>
        <w:spacing w:after="0" w:line="360" w:lineRule="auto"/>
        <w:ind w:firstLine="720"/>
        <w:jc w:val="both"/>
        <w:rPr>
          <w:kern w:val="0"/>
          <w:szCs w:val="28"/>
          <w:lang w:val="ru-RU"/>
        </w:rPr>
      </w:pPr>
      <w:r w:rsidRPr="00DF774B">
        <w:rPr>
          <w:kern w:val="0"/>
          <w:szCs w:val="28"/>
          <w:lang w:val="ru-RU"/>
        </w:rPr>
        <w:t xml:space="preserve">Следует отметить, что кредиты, предоставляемые фермерам в Соединенных Штатах, выделяются на приобретение или использование ферм, поддержание и ремонт зданий и сооружений, улучшение качества и состояния земли, а также на целенаправленное и эффективное использование и строительство наземных и водных ресурсов. Эти платежи представляют собой средства платежного баланса в связи со стихийными бедствиями, страховую </w:t>
      </w:r>
      <w:r w:rsidRPr="00DF774B">
        <w:rPr>
          <w:kern w:val="0"/>
          <w:szCs w:val="28"/>
          <w:lang w:val="ru-RU"/>
        </w:rPr>
        <w:lastRenderedPageBreak/>
        <w:t>помощь, увеличение кредитных платежей из-за падения цен и обеспечение восстановления земель.</w:t>
      </w:r>
    </w:p>
    <w:p w:rsidR="00497258" w:rsidRPr="00497258" w:rsidRDefault="007C66ED" w:rsidP="007C66ED">
      <w:pPr>
        <w:spacing w:after="0" w:line="360" w:lineRule="auto"/>
        <w:ind w:firstLine="720"/>
        <w:jc w:val="both"/>
        <w:rPr>
          <w:kern w:val="0"/>
          <w:szCs w:val="28"/>
          <w:lang w:val="uz-Cyrl-UZ"/>
        </w:rPr>
      </w:pPr>
      <w:r w:rsidRPr="00DF774B">
        <w:rPr>
          <w:kern w:val="0"/>
          <w:szCs w:val="28"/>
          <w:lang w:val="ru-RU"/>
        </w:rPr>
        <w:t>Таким образом, основа эффективного развития сельского хозяйства в Соединенных Штатах является сложной и включает в себя как краткосрочные варианты обучения (ресурсы, поставки, включая поддержку, производственные возможности и т. д.), так и реальное комплексное развитие.</w:t>
      </w:r>
    </w:p>
    <w:p w:rsidR="007C66ED" w:rsidRPr="007C66ED" w:rsidRDefault="007C66ED" w:rsidP="007C66ED">
      <w:pPr>
        <w:spacing w:after="0" w:line="360" w:lineRule="auto"/>
        <w:ind w:firstLine="720"/>
        <w:jc w:val="both"/>
        <w:rPr>
          <w:kern w:val="0"/>
          <w:szCs w:val="28"/>
          <w:lang w:val="uz-Cyrl-UZ"/>
        </w:rPr>
      </w:pPr>
      <w:r w:rsidRPr="007C66ED">
        <w:rPr>
          <w:kern w:val="0"/>
          <w:szCs w:val="28"/>
          <w:lang w:val="uz-Cyrl-UZ"/>
        </w:rPr>
        <w:t>Экономическое развитие правительства Южной Кореи было сосредоточено на освоении природных ресурсов, развитии сельского хозяйства и промышленности, развитии национального сельского хозяйства и инвестициях. Экономическая революция политических лидеров была мощной. В то время государство создавало важнейшие продукты для граждан страны, что способствовало поддержанию баланса посредством торговли. В результате, преимуществами стали качество жизни, результаты, характеристики и ценности страны, обеспечивающие безопасность. Реформы в налоговой системе также не принесли результатов. Производственные предприятия в сфере сельского хозяйства способствовали социально-экономическому развитию, росту урбанизации и социально-экономическому развитию страны. Наконец, в Китае, как в экономике, так и на рынках труда, цены на продукцию, заработанную тяжелым трудом, известны как цены на ценную продукцию, а оставшаяся часть ценной продукции, заработанной тяжелым трудом, приносит стране результаты, результаты экономического развития и краткосрочное развитие.</w:t>
      </w:r>
    </w:p>
    <w:p w:rsidR="00497258" w:rsidRPr="00497258" w:rsidRDefault="007C66ED" w:rsidP="007C66ED">
      <w:pPr>
        <w:spacing w:after="0" w:line="360" w:lineRule="auto"/>
        <w:ind w:firstLine="720"/>
        <w:jc w:val="both"/>
        <w:rPr>
          <w:kern w:val="0"/>
          <w:szCs w:val="28"/>
          <w:lang w:val="uz-Cyrl-UZ"/>
        </w:rPr>
      </w:pPr>
      <w:r w:rsidRPr="007C66ED">
        <w:rPr>
          <w:kern w:val="0"/>
          <w:szCs w:val="28"/>
          <w:lang w:val="uz-Cyrl-UZ"/>
        </w:rPr>
        <w:t xml:space="preserve">В настоящее время этот метод </w:t>
      </w:r>
      <w:r w:rsidR="00497258" w:rsidRPr="00497258">
        <w:rPr>
          <w:kern w:val="0"/>
          <w:szCs w:val="28"/>
          <w:vertAlign w:val="superscript"/>
          <w:lang w:val="uz-Cyrl-UZ"/>
        </w:rPr>
        <w:footnoteReference w:id="28"/>
      </w:r>
      <w:r w:rsidR="00497258" w:rsidRPr="00497258">
        <w:rPr>
          <w:kern w:val="0"/>
          <w:szCs w:val="28"/>
          <w:lang w:val="uz-Cyrl-UZ"/>
        </w:rPr>
        <w:t>определяется как «важное направление реформирования сельского хозяйства, совершенствования механизма переработки сельскохозяйственной продукции и улучшения агропромышленного сектора, которое обеспечит сельскому хозяйству стабильное экономическое положение и привлечение инвестиций в будущем».</w:t>
      </w:r>
    </w:p>
    <w:p w:rsidR="00497258" w:rsidRPr="00497258" w:rsidRDefault="00497258" w:rsidP="00497258">
      <w:pPr>
        <w:spacing w:after="0" w:line="360" w:lineRule="auto"/>
        <w:ind w:firstLine="720"/>
        <w:jc w:val="both"/>
        <w:rPr>
          <w:kern w:val="0"/>
          <w:szCs w:val="28"/>
          <w:lang w:val="uz-Cyrl-UZ"/>
        </w:rPr>
      </w:pPr>
      <w:r w:rsidRPr="00497258">
        <w:rPr>
          <w:kern w:val="0"/>
          <w:szCs w:val="28"/>
          <w:lang w:val="uz-Cyrl-UZ"/>
        </w:rPr>
        <w:t xml:space="preserve">Примечательно, что государственный план включает меры по снижению и отмене сельскохозяйственных налогов и усилению субсидирования развития </w:t>
      </w:r>
      <w:r w:rsidRPr="00497258">
        <w:rPr>
          <w:kern w:val="0"/>
          <w:szCs w:val="28"/>
          <w:lang w:val="uz-Cyrl-UZ"/>
        </w:rPr>
        <w:lastRenderedPageBreak/>
        <w:t xml:space="preserve">сельского хозяйства. В результате «592 провинции Китая полностью отменят сельскохозяйственные налоги и налоги на продукцию животноводства, а из центрального бюджета будет выделено 66,4 миллиарда юаней для покрытия дефицита этих налогов на более низких уровнях управления. На заседании парламента было принято решение об отмене сельскохозяйственных налогов на всей территории Китая на 3 года » </w:t>
      </w:r>
      <w:r w:rsidRPr="00497258">
        <w:rPr>
          <w:kern w:val="0"/>
          <w:szCs w:val="28"/>
          <w:vertAlign w:val="superscript"/>
          <w:lang w:val="uz-Cyrl-UZ"/>
        </w:rPr>
        <w:footnoteReference w:id="29"/>
      </w:r>
      <w:r w:rsidRPr="00497258">
        <w:rPr>
          <w:kern w:val="0"/>
          <w:szCs w:val="28"/>
          <w:lang w:val="uz-Cyrl-UZ"/>
        </w:rPr>
        <w:t>.</w:t>
      </w:r>
    </w:p>
    <w:p w:rsidR="007C66ED" w:rsidRPr="007C66ED" w:rsidRDefault="007C66ED" w:rsidP="007C66ED">
      <w:pPr>
        <w:spacing w:after="0" w:line="360" w:lineRule="auto"/>
        <w:ind w:firstLine="720"/>
        <w:jc w:val="both"/>
        <w:rPr>
          <w:kern w:val="0"/>
          <w:szCs w:val="28"/>
          <w:lang w:val="uz-Cyrl-UZ"/>
        </w:rPr>
      </w:pPr>
      <w:r w:rsidRPr="007C66ED">
        <w:rPr>
          <w:kern w:val="0"/>
          <w:szCs w:val="28"/>
          <w:lang w:val="uz-Cyrl-UZ"/>
        </w:rPr>
        <w:t>Согласно применению, сложность инфраструктурного строительства, а именно защита от коррозии и описание коррозионных процессов, оказывает большое влияние на коррозию. Однако ситуация в Узбекистане затрудняет требование уважения к женщинам-учителям в экономике. В целом, российское правительство, создавая рыночную экономику, предоставило экономистам отчет о новых, новейших и широко распространенных типах устаревших отделов экономических предприятий. Изучение проблем управления при эффективном управлении собственником имущества. Инвестиционные цели представляют собой сочетание объектов и методов поиска важной информации, необходимой инвесторам относительно природы рынка, включая природу существующей информации, общие интересы, анализ рынка и традиционный анализ рынка инвесторами. Стихи.</w:t>
      </w:r>
    </w:p>
    <w:p w:rsidR="00497258" w:rsidRPr="007B5108" w:rsidRDefault="007C66ED" w:rsidP="007C66ED">
      <w:pPr>
        <w:spacing w:after="0" w:line="360" w:lineRule="auto"/>
        <w:ind w:firstLine="720"/>
        <w:jc w:val="both"/>
        <w:rPr>
          <w:kern w:val="0"/>
          <w:szCs w:val="28"/>
          <w:lang w:val="uz-Cyrl-UZ"/>
        </w:rPr>
      </w:pPr>
      <w:r w:rsidRPr="007C66ED">
        <w:rPr>
          <w:kern w:val="0"/>
          <w:szCs w:val="28"/>
          <w:lang w:val="uz-Cyrl-UZ"/>
        </w:rPr>
        <w:t xml:space="preserve">Все рыночные темы, цены и тенденции, конкурентные данные доступны в общих и агрегированных странах. Например, в Германии, Великобритании, Франции, командах Кубка Канады, сыновья Организации Объединенных Наций тренируются в специальных группах. Этот рынок услуг предлагает широкий спектр продуктов в областях спроса, предложения, формирования цветочных композиций, торговых и производственных вопросов на рынке, сильные оползни в США и их регионах. Змеиный технический джихад обладает высоким уровнем сопротивления. Необходимо получить данные из анализа и обработки данных Суньэя и перевести рыночные данные в минуты. Распределение через компьютерное время и сотрудников. Распространение информации, а также публичные отчеты о голосовании. В этих странах </w:t>
      </w:r>
      <w:r w:rsidRPr="007C66ED">
        <w:rPr>
          <w:kern w:val="0"/>
          <w:szCs w:val="28"/>
          <w:lang w:val="uz-Cyrl-UZ"/>
        </w:rPr>
        <w:lastRenderedPageBreak/>
        <w:t xml:space="preserve">называется сумма рыночных сборов против рынка. Шунинг, опыт Великобритании в нарушении ADAS в Великобритании ухудшается, силы. ADAS требует от кооперативов, фермеров и предприятий в Англии и Уэльсе стать дочерней компанией коммерческих служб. Каждая административная консультация, протокол и услуга ADAS в Великобритании стоит 50 миллионов фунтов стерлингов (в среднем 80 миллионов фунтов стерлингов). В сельскохозяйственных странах много фермеров, предприятий, молодежных кооперативов, компаний по переработке сельскохозяйственной продукции и местных органов власти. ADAS — это второй шаг в развитии страны и сельскохозяйственных регионов, с которого все началось. Премьер-министр является министром образования. Ассоциация объединяет функции фермеров, производителей сельскохозяйственной продукции и корпораций пищевой промышленности, предоставляя услуги, и в 1987 году разработала новую систему консультаций для всех предприятий пищевой промышленности. С 1987 года были разработаны государственные услуги ADAS. Нынешний проект закона основан на основных предположениях, сделанных органами, участвующими в разработке и внедрении ADAS. Многие товары, такие как: сельскохозяйственные и государственные фермеры, особенно в производстве и адаптации сельскохозяйственной продукции к рынку, особенно в Ирландии, чаще всего привлекаются к кооперативной и фермерской работе; земельные религиозные аспекты, а также этноприродные условия; маркетинг сельскохозяйственной продукции мелких, вторичных фермеров с использованием услуг экспортеров или кооперативных продавцов; развитие сельскохозяйственной и социальной среды населения; сельскохозяйственные проекты и иногда маркетинговые исследования; продажа откормочных и перерабатывающих сельскохозяйственных животных в соответствии с процессами животноводства и растениеводства; Серьезные травмы при подготовке к стихийным бедствиям, тяговая медицина, интенсивная терапия и репродуктивное здоровье, критическая техническая оценка, уникальные </w:t>
      </w:r>
      <w:r w:rsidRPr="007C66ED">
        <w:rPr>
          <w:kern w:val="0"/>
          <w:szCs w:val="28"/>
          <w:lang w:val="uz-Cyrl-UZ"/>
        </w:rPr>
        <w:lastRenderedPageBreak/>
        <w:t>разработки и исследования, качественное обслуживание сельскохозяйственной продукции.</w:t>
      </w:r>
    </w:p>
    <w:p w:rsidR="007C66ED" w:rsidRPr="007B5108" w:rsidRDefault="007C66ED" w:rsidP="007C66ED">
      <w:pPr>
        <w:spacing w:after="0" w:line="360" w:lineRule="auto"/>
        <w:ind w:firstLine="720"/>
        <w:jc w:val="both"/>
        <w:rPr>
          <w:kern w:val="0"/>
          <w:szCs w:val="28"/>
          <w:lang w:val="uz-Cyrl-UZ"/>
        </w:rPr>
      </w:pPr>
      <w:r w:rsidRPr="007B5108">
        <w:rPr>
          <w:kern w:val="0"/>
          <w:szCs w:val="28"/>
          <w:lang w:val="uz-Cyrl-UZ"/>
        </w:rPr>
        <w:t>Существует и другая система, а именно взаимоотношения, которая обеспечивает улучшение финансового положения поставщиков сельскохозяйственной продукции, создавая возможность самофинансирования. В этой связи фермерам, компаниям и предприятиям сложно продвигать сельскохозяйственную продукцию и развивать кооперативы, то есть кооперативы в интересах кооперативов.</w:t>
      </w:r>
    </w:p>
    <w:p w:rsidR="007C66ED" w:rsidRPr="007B5108" w:rsidRDefault="007C66ED" w:rsidP="007C66ED">
      <w:pPr>
        <w:spacing w:after="0" w:line="360" w:lineRule="auto"/>
        <w:ind w:firstLine="720"/>
        <w:jc w:val="both"/>
        <w:rPr>
          <w:kern w:val="0"/>
          <w:szCs w:val="28"/>
          <w:lang w:val="uz-Cyrl-UZ"/>
        </w:rPr>
      </w:pPr>
      <w:r w:rsidRPr="007B5108">
        <w:rPr>
          <w:kern w:val="0"/>
          <w:szCs w:val="28"/>
          <w:lang w:val="uz-Cyrl-UZ"/>
        </w:rPr>
        <w:t>В Японии на кооперативы приходится 95 процентов производства свежей продукции, в то время как в Швейцарии, Дании и Норвегии государственные кооперативы зависят от зимнего производства и в значительной степени от производства свежей продукции.</w:t>
      </w:r>
    </w:p>
    <w:p w:rsidR="007C66ED" w:rsidRPr="007B5108" w:rsidRDefault="007C66ED" w:rsidP="007C66ED">
      <w:pPr>
        <w:spacing w:after="0" w:line="360" w:lineRule="auto"/>
        <w:ind w:firstLine="720"/>
        <w:jc w:val="both"/>
        <w:rPr>
          <w:kern w:val="0"/>
          <w:szCs w:val="28"/>
          <w:lang w:val="uz-Cyrl-UZ"/>
        </w:rPr>
      </w:pPr>
      <w:r w:rsidRPr="007B5108">
        <w:rPr>
          <w:kern w:val="0"/>
          <w:szCs w:val="28"/>
          <w:lang w:val="uz-Cyrl-UZ"/>
        </w:rPr>
        <w:t xml:space="preserve">Развитые страны и страны мира инвестируют в приоритетные направления сельскохозяйственных инвестиций для развития сельскохозяйственных ресурсов в соответствии с современной моделью: американской и европейской. В США и Канаде для этой цели используются бюджетные ресурсы, направленные на снижение экономического бремени долга, амортизацию, заимствования, инвестиции фермеров в высокодоходных заемщиков, кредитные рейтинговые условия в США, а также экономика. Налоговые льготы играют важную роль в увеличении объемов сельскохозяйственной продукции и повышении производительности земель. Кроме того, в программу входят государственные аграрные предприятия, государственные программы социального обеспечения, включая развитие сельскохозяйственных дочерних предприятий, инвестиционные кредиты, обучение персонала, государственные предприятия, частные субсидии, увеличение занятости, налогоплательщиков, развитие институционального предпринимательства, периодические котировки, а также важные программы. Сельскохозяйственные инвестиции способствуют привлечению инвестиций и экспорту, развитию эффекта масштаба и внедрению технологий. В отчеты входят программы государственной поддержки сельскохозяйственного </w:t>
      </w:r>
      <w:r w:rsidRPr="007B5108">
        <w:rPr>
          <w:kern w:val="0"/>
          <w:szCs w:val="28"/>
          <w:lang w:val="uz-Cyrl-UZ"/>
        </w:rPr>
        <w:lastRenderedPageBreak/>
        <w:t>производства в странах с развивающейся рыночной экономикой и активное привлечение иностранных инвестиций в этот сектор.</w:t>
      </w:r>
    </w:p>
    <w:p w:rsidR="007C66ED" w:rsidRPr="007B5108" w:rsidRDefault="007C66ED" w:rsidP="007C66ED">
      <w:pPr>
        <w:spacing w:after="0" w:line="360" w:lineRule="auto"/>
        <w:ind w:firstLine="720"/>
        <w:jc w:val="both"/>
        <w:rPr>
          <w:kern w:val="0"/>
          <w:szCs w:val="28"/>
          <w:lang w:val="uz-Cyrl-UZ"/>
        </w:rPr>
      </w:pPr>
      <w:r w:rsidRPr="007B5108">
        <w:rPr>
          <w:kern w:val="0"/>
          <w:szCs w:val="28"/>
          <w:lang w:val="uz-Cyrl-UZ"/>
        </w:rPr>
        <w:t>– государственная поддержка доходов от сельскохозяйственной продукции: в частности, выплаты за убытки, возникшие в результате ущерба, выплаты, своевременная компенсация за ущерб окружающей среде, причиненный производственной деятельностью, меры по получению доходов от природных ресурсов; оценка воздействия ущерба окружающей среде (интенсивное землепользование, оценка качества, другие факторы охраны и сохранения окружающей среды);</w:t>
      </w:r>
    </w:p>
    <w:p w:rsidR="007C66ED" w:rsidRPr="007B5108" w:rsidRDefault="007C66ED" w:rsidP="007C66ED">
      <w:pPr>
        <w:spacing w:after="0" w:line="360" w:lineRule="auto"/>
        <w:ind w:firstLine="720"/>
        <w:jc w:val="both"/>
        <w:rPr>
          <w:kern w:val="0"/>
          <w:szCs w:val="28"/>
          <w:lang w:val="uz-Cyrl-UZ"/>
        </w:rPr>
      </w:pPr>
      <w:r w:rsidRPr="007B5108">
        <w:rPr>
          <w:kern w:val="0"/>
          <w:szCs w:val="28"/>
          <w:lang w:val="uz-Cyrl-UZ"/>
        </w:rPr>
        <w:t>– ценовая политика, которая включает разработку ряда мер по влиянию на продовольственный рынок: поддержка внутренних цен на сельскохозяйственную продукцию; бельгийские квоты; продовольственные пошлины на экспорт и импорт в Бельгии;</w:t>
      </w:r>
    </w:p>
    <w:p w:rsidR="007C66ED" w:rsidRPr="007B5108" w:rsidRDefault="007C66ED" w:rsidP="007C66ED">
      <w:pPr>
        <w:spacing w:after="0" w:line="360" w:lineRule="auto"/>
        <w:ind w:firstLine="720"/>
        <w:jc w:val="both"/>
        <w:rPr>
          <w:kern w:val="0"/>
          <w:szCs w:val="28"/>
          <w:lang w:val="uz-Cyrl-UZ"/>
        </w:rPr>
      </w:pPr>
      <w:r w:rsidRPr="007B5108">
        <w:rPr>
          <w:kern w:val="0"/>
          <w:szCs w:val="28"/>
          <w:lang w:val="uz-Cyrl-UZ"/>
        </w:rPr>
        <w:t>– субсидирование доходов: представители сельскохозяйственных кооперативов субсидируют сельскохозяйственное производство и технологии, субсидируют сельскохозяйственную продукцию и пестициды, субсидируют сельскохозяйственную продукцию, субсидируют некредитные агентства и сельскохозяйственное производство, субсидируют;</w:t>
      </w:r>
    </w:p>
    <w:p w:rsidR="007C66ED" w:rsidRPr="007B5108" w:rsidRDefault="007C66ED" w:rsidP="007C66ED">
      <w:pPr>
        <w:spacing w:after="0" w:line="360" w:lineRule="auto"/>
        <w:ind w:firstLine="720"/>
        <w:jc w:val="both"/>
        <w:rPr>
          <w:kern w:val="0"/>
          <w:szCs w:val="28"/>
          <w:lang w:val="uz-Cyrl-UZ"/>
        </w:rPr>
      </w:pPr>
      <w:r w:rsidRPr="007B5108">
        <w:rPr>
          <w:kern w:val="0"/>
          <w:szCs w:val="28"/>
          <w:lang w:val="uz-Cyrl-UZ"/>
        </w:rPr>
        <w:t>– содействие развитию рынка (профилактика): это и государственные конституции в отношении производственной практики, конкурентных интересов, финансовой конкуренции в транспортных расходах агротехнических объединений;</w:t>
      </w:r>
    </w:p>
    <w:p w:rsidR="007C66ED" w:rsidRPr="007B5108" w:rsidRDefault="007C66ED" w:rsidP="007C66ED">
      <w:pPr>
        <w:spacing w:after="0" w:line="360" w:lineRule="auto"/>
        <w:ind w:firstLine="720"/>
        <w:jc w:val="both"/>
        <w:rPr>
          <w:kern w:val="0"/>
          <w:szCs w:val="28"/>
          <w:lang w:val="uz-Cyrl-UZ"/>
        </w:rPr>
      </w:pPr>
      <w:r w:rsidRPr="007B5108">
        <w:rPr>
          <w:kern w:val="0"/>
          <w:szCs w:val="28"/>
          <w:lang w:val="uz-Cyrl-UZ"/>
        </w:rPr>
        <w:t>– содействие развитию производственной инфраструктуры: разработка долгосрочных программ бюджетной поддержки сельскохозяйственных кооперативных производственных и торговых предприятий, субсидии для вторичных сельскохозяйственных производителей, субсидии, субсидии для мелиоративного хозяйства, кооперативов по развитию сельского хозяйства;</w:t>
      </w:r>
    </w:p>
    <w:p w:rsidR="007C66ED" w:rsidRPr="007B5108" w:rsidRDefault="007C66ED" w:rsidP="007C66ED">
      <w:pPr>
        <w:spacing w:after="0" w:line="360" w:lineRule="auto"/>
        <w:ind w:firstLine="720"/>
        <w:jc w:val="both"/>
        <w:rPr>
          <w:kern w:val="0"/>
          <w:szCs w:val="28"/>
          <w:lang w:val="uz-Cyrl-UZ"/>
        </w:rPr>
      </w:pPr>
      <w:r w:rsidRPr="007B5108">
        <w:rPr>
          <w:kern w:val="0"/>
          <w:szCs w:val="28"/>
          <w:lang w:val="uz-Cyrl-UZ"/>
        </w:rPr>
        <w:t xml:space="preserve">– конституционная коалиция правительств: государственные чиновники, жертвы экономического кризиса, региональные государства, </w:t>
      </w:r>
      <w:r w:rsidRPr="007B5108">
        <w:rPr>
          <w:kern w:val="0"/>
          <w:szCs w:val="28"/>
          <w:lang w:val="uz-Cyrl-UZ"/>
        </w:rPr>
        <w:lastRenderedPageBreak/>
        <w:t>конституционная коалиция правительств (Канада, США, подход Фонда Европейского союза);</w:t>
      </w:r>
    </w:p>
    <w:p w:rsidR="007C66ED" w:rsidRPr="00DF774B" w:rsidRDefault="007C66ED" w:rsidP="007C66ED">
      <w:pPr>
        <w:spacing w:after="0" w:line="360" w:lineRule="auto"/>
        <w:ind w:firstLine="720"/>
        <w:jc w:val="both"/>
        <w:rPr>
          <w:kern w:val="0"/>
          <w:szCs w:val="28"/>
          <w:lang w:val="ru-RU"/>
        </w:rPr>
      </w:pPr>
      <w:r w:rsidRPr="00DF774B">
        <w:rPr>
          <w:kern w:val="0"/>
          <w:szCs w:val="28"/>
          <w:lang w:val="ru-RU"/>
        </w:rPr>
        <w:t>– Макроэкономическая политика: государственная поддержка аграрного сектора, проведение фискальной политики, организация торговли и производства. В этой связи – реализация программ государственной поддержки аграрного сектора.</w:t>
      </w:r>
    </w:p>
    <w:p w:rsidR="007C66ED" w:rsidRPr="00DF774B" w:rsidRDefault="007C66ED" w:rsidP="007C66ED">
      <w:pPr>
        <w:spacing w:after="0" w:line="360" w:lineRule="auto"/>
        <w:ind w:firstLine="720"/>
        <w:jc w:val="both"/>
        <w:rPr>
          <w:bCs/>
          <w:kern w:val="0"/>
          <w:szCs w:val="28"/>
          <w:lang w:val="ru-RU"/>
        </w:rPr>
      </w:pPr>
      <w:r w:rsidRPr="00DF774B">
        <w:rPr>
          <w:kern w:val="0"/>
          <w:szCs w:val="28"/>
          <w:lang w:val="ru-RU"/>
        </w:rPr>
        <w:t xml:space="preserve">Опыт оказания сельскохозяйственной помощи инвесторам в привлечении экономического и экономического развития, акционерам компании-получателя, предприятиям развития и инвестиционному развитию, компаниям развития рынка в корпорации государственного предприятия-получателя. Принятие кредита для баланса. </w:t>
      </w:r>
      <w:r w:rsidRPr="00DF774B">
        <w:rPr>
          <w:bCs/>
          <w:kern w:val="0"/>
          <w:szCs w:val="28"/>
          <w:lang w:val="ru-RU"/>
        </w:rPr>
        <w:t>Увеличение доли в имуществе. Исследования по лидерству в инвестициях в области анализа процентных ставок и оценки влияния коррупции на корпоративные активы не являются устойчивыми. Создание фондов для инвестиций в экономику страны через рынки капитала растет, и инвестиции от корпоративных инвесторов увеличиваются. В частности, «существует группа инвестиционных брокеров, доля акционеров которых должна составлять 10 процентов от капитала инвестора». Также, «для обеспечения эффективного контроля инвестора над управлением предприятием, долгосрочного взаимовыгодного сотрудничества, производства имущественных активов, дальнейшего развития деятельности предприятия» и вопросы, связанные с участием инвесторов, становятся все более актуальными.</w:t>
      </w:r>
    </w:p>
    <w:p w:rsidR="007C66ED" w:rsidRPr="00DF774B" w:rsidRDefault="007C66ED" w:rsidP="007C66ED">
      <w:pPr>
        <w:spacing w:after="0" w:line="360" w:lineRule="auto"/>
        <w:ind w:firstLine="720"/>
        <w:jc w:val="both"/>
        <w:rPr>
          <w:bCs/>
          <w:kern w:val="0"/>
          <w:szCs w:val="28"/>
          <w:lang w:val="ru-RU"/>
        </w:rPr>
      </w:pPr>
      <w:r w:rsidRPr="00DF774B">
        <w:rPr>
          <w:bCs/>
          <w:kern w:val="0"/>
          <w:szCs w:val="28"/>
          <w:lang w:val="ru-RU"/>
        </w:rPr>
        <w:t>Согласно результатам исследования, группа инвесторов в корпорации отвечает за капитализацию экономики, которая составляет 10% экономики, то есть экономики. Права инвесторов на законное или юридически признанное признание инвестиций. Дополнительное время для привлечения инвесторов, сбережений, валютных инвестиций, корпоративного капитала. Обучение инвесторов в сфере сельского хозяйства, агрокооперативов, сельскохозяйственного производства, технологий, инфраструктуры, транспорта, перевозок и т. д.</w:t>
      </w:r>
    </w:p>
    <w:p w:rsidR="00497258" w:rsidRPr="00497258" w:rsidRDefault="007C66ED" w:rsidP="007C66ED">
      <w:pPr>
        <w:spacing w:after="0" w:line="360" w:lineRule="auto"/>
        <w:ind w:firstLine="720"/>
        <w:jc w:val="both"/>
        <w:rPr>
          <w:bCs/>
          <w:kern w:val="0"/>
          <w:szCs w:val="28"/>
          <w:lang w:val="uz-Cyrl-UZ"/>
        </w:rPr>
      </w:pPr>
      <w:r w:rsidRPr="00DF774B">
        <w:rPr>
          <w:bCs/>
          <w:kern w:val="0"/>
          <w:szCs w:val="28"/>
          <w:lang w:val="ru-RU"/>
        </w:rPr>
        <w:lastRenderedPageBreak/>
        <w:t>В обзоре европейской экономики (</w:t>
      </w:r>
      <w:r w:rsidRPr="007C66ED">
        <w:rPr>
          <w:bCs/>
          <w:kern w:val="0"/>
          <w:szCs w:val="28"/>
          <w:lang w:val="en-US"/>
        </w:rPr>
        <w:t>EEO</w:t>
      </w:r>
      <w:r w:rsidRPr="00DF774B">
        <w:rPr>
          <w:bCs/>
          <w:kern w:val="0"/>
          <w:szCs w:val="28"/>
          <w:lang w:val="ru-RU"/>
        </w:rPr>
        <w:t xml:space="preserve">) на 2019-2023 годы показано, что страны Ассоциации рынков капитала поощряют инвестиции в сельскохозяйственный сектор и укрепляют рыночные тенденции </w:t>
      </w:r>
      <w:r w:rsidR="00497258" w:rsidRPr="00497258">
        <w:rPr>
          <w:bCs/>
          <w:kern w:val="0"/>
          <w:szCs w:val="28"/>
          <w:lang w:val="uz-Cyrl-UZ"/>
        </w:rPr>
        <w:t>(таблица 1.3).</w:t>
      </w:r>
    </w:p>
    <w:p w:rsidR="00497258" w:rsidRPr="00497258" w:rsidRDefault="00497258" w:rsidP="00497258">
      <w:pPr>
        <w:spacing w:after="0"/>
        <w:ind w:firstLine="709"/>
        <w:jc w:val="right"/>
        <w:rPr>
          <w:b/>
          <w:bCs/>
          <w:kern w:val="0"/>
          <w:sz w:val="26"/>
          <w:szCs w:val="26"/>
          <w:lang w:val="uz-Cyrl-UZ"/>
        </w:rPr>
      </w:pPr>
      <w:r w:rsidRPr="00497258">
        <w:rPr>
          <w:b/>
          <w:bCs/>
          <w:kern w:val="0"/>
          <w:sz w:val="26"/>
          <w:szCs w:val="26"/>
          <w:lang w:val="uz-Cyrl-UZ"/>
        </w:rPr>
        <w:t xml:space="preserve">Таблица </w:t>
      </w:r>
      <w:r w:rsidRPr="00497258">
        <w:rPr>
          <w:b/>
          <w:kern w:val="0"/>
          <w:szCs w:val="28"/>
          <w:lang w:val="uz-Cyrl-UZ"/>
        </w:rPr>
        <w:t>1.3</w:t>
      </w:r>
    </w:p>
    <w:p w:rsidR="00497258" w:rsidRPr="00DF774B" w:rsidRDefault="00497258" w:rsidP="00497258">
      <w:pPr>
        <w:spacing w:after="0"/>
        <w:jc w:val="center"/>
        <w:rPr>
          <w:kern w:val="0"/>
          <w:sz w:val="26"/>
          <w:szCs w:val="26"/>
          <w:lang w:val="ru-RU"/>
        </w:rPr>
      </w:pPr>
      <w:r w:rsidRPr="00497258">
        <w:rPr>
          <w:b/>
          <w:bCs/>
          <w:kern w:val="0"/>
          <w:sz w:val="26"/>
          <w:szCs w:val="26"/>
          <w:lang w:val="uz-Cyrl-UZ"/>
        </w:rPr>
        <w:t>Динамика инвестиций в агросектор в рамках капиталовложений в странах Евразийского экономического союза (млн долларов США)</w:t>
      </w:r>
      <w:r w:rsidRPr="00497258">
        <w:rPr>
          <w:b/>
          <w:bCs/>
          <w:kern w:val="0"/>
          <w:sz w:val="26"/>
          <w:szCs w:val="26"/>
          <w:vertAlign w:val="superscript"/>
          <w:lang w:val="uz-Cyrl-UZ"/>
        </w:rPr>
        <w:t xml:space="preserve"> </w:t>
      </w:r>
      <w:r w:rsidRPr="00497258">
        <w:rPr>
          <w:b/>
          <w:bCs/>
          <w:kern w:val="0"/>
          <w:sz w:val="26"/>
          <w:szCs w:val="26"/>
          <w:vertAlign w:val="superscript"/>
          <w:lang w:val="uz-Cyrl-UZ"/>
        </w:rPr>
        <w:footnoteReference w:id="30"/>
      </w:r>
    </w:p>
    <w:p w:rsidR="00497258" w:rsidRPr="00DF774B" w:rsidRDefault="00497258" w:rsidP="00497258">
      <w:pPr>
        <w:spacing w:after="0"/>
        <w:ind w:firstLine="709"/>
        <w:jc w:val="both"/>
        <w:rPr>
          <w:kern w:val="0"/>
          <w:sz w:val="10"/>
          <w:szCs w:val="10"/>
          <w:lang w:val="ru-RU"/>
        </w:rPr>
      </w:pPr>
    </w:p>
    <w:p w:rsidR="007C66ED" w:rsidRDefault="00F50397" w:rsidP="007C66ED">
      <w:pPr>
        <w:spacing w:after="0" w:line="360" w:lineRule="auto"/>
        <w:jc w:val="both"/>
        <w:rPr>
          <w:bCs/>
          <w:kern w:val="0"/>
          <w:szCs w:val="28"/>
          <w:lang w:val="uz-Cyrl-UZ"/>
        </w:rPr>
      </w:pPr>
      <w:r w:rsidRPr="00877CC4">
        <w:rPr>
          <w:noProof/>
          <w:kern w:val="0"/>
          <w:szCs w:val="28"/>
          <w:lang w:val="ru-RU" w:eastAsia="ru-RU"/>
        </w:rPr>
        <w:drawing>
          <wp:inline distT="0" distB="0" distL="0" distR="0">
            <wp:extent cx="5943600" cy="4267200"/>
            <wp:effectExtent l="0" t="0" r="0" b="0"/>
            <wp:docPr id="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267200"/>
                    </a:xfrm>
                    <a:prstGeom prst="rect">
                      <a:avLst/>
                    </a:prstGeom>
                    <a:noFill/>
                    <a:ln>
                      <a:noFill/>
                    </a:ln>
                  </pic:spPr>
                </pic:pic>
              </a:graphicData>
            </a:graphic>
          </wp:inline>
        </w:drawing>
      </w:r>
    </w:p>
    <w:p w:rsidR="007C66ED" w:rsidRDefault="00F50397" w:rsidP="007C66ED">
      <w:pPr>
        <w:spacing w:after="0" w:line="360" w:lineRule="auto"/>
        <w:jc w:val="both"/>
        <w:rPr>
          <w:bCs/>
          <w:kern w:val="0"/>
          <w:szCs w:val="28"/>
          <w:lang w:val="uz-Cyrl-UZ"/>
        </w:rPr>
      </w:pPr>
      <w:r w:rsidRPr="00877CC4">
        <w:rPr>
          <w:noProof/>
          <w:kern w:val="0"/>
          <w:szCs w:val="28"/>
          <w:lang w:val="ru-RU" w:eastAsia="ru-RU"/>
        </w:rPr>
        <w:drawing>
          <wp:inline distT="0" distB="0" distL="0" distR="0">
            <wp:extent cx="5943600" cy="857250"/>
            <wp:effectExtent l="0" t="0" r="0" b="0"/>
            <wp:docPr id="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857250"/>
                    </a:xfrm>
                    <a:prstGeom prst="rect">
                      <a:avLst/>
                    </a:prstGeom>
                    <a:noFill/>
                    <a:ln>
                      <a:noFill/>
                    </a:ln>
                  </pic:spPr>
                </pic:pic>
              </a:graphicData>
            </a:graphic>
          </wp:inline>
        </w:drawing>
      </w:r>
    </w:p>
    <w:p w:rsidR="00497258" w:rsidRPr="00497258" w:rsidRDefault="007C66ED" w:rsidP="00497258">
      <w:pPr>
        <w:spacing w:after="0" w:line="360" w:lineRule="auto"/>
        <w:ind w:firstLine="720"/>
        <w:jc w:val="both"/>
        <w:rPr>
          <w:bCs/>
          <w:kern w:val="0"/>
          <w:szCs w:val="28"/>
          <w:lang w:val="uz-Cyrl-UZ"/>
        </w:rPr>
      </w:pPr>
      <w:r w:rsidRPr="007C66ED">
        <w:rPr>
          <w:bCs/>
          <w:kern w:val="0"/>
          <w:szCs w:val="28"/>
          <w:lang w:val="uz-Cyrl-UZ"/>
        </w:rPr>
        <w:t xml:space="preserve">В целом, капиталовложения в сектор поддержки сельского хозяйства в 2023 году составили 4,1 процентных пункта, что на 0,5 процентных пункта меньше, чем инвестиции в урбанистический капитал в 2019 году. Рост составил 1,3 раза. При этом зафиксирована ежедневная тенденция по следующим показателям: инвестор, ассоциация инвестиций в поддержку </w:t>
      </w:r>
      <w:r w:rsidRPr="007C66ED">
        <w:rPr>
          <w:bCs/>
          <w:kern w:val="0"/>
          <w:szCs w:val="28"/>
          <w:lang w:val="uz-Cyrl-UZ"/>
        </w:rPr>
        <w:lastRenderedPageBreak/>
        <w:t xml:space="preserve">сельскохозяйственной инфраструктуры, инвестиции в развитие сельскохозяйственной инфраструктуры, развитие инфраструктуры, сельскохозяйственное оборудование, машины, оборудование, сборка транспортного оборудования, закупка оборудования и сырья, капиталовложения в сельское хозяйство и инвестиции в оборудование, инвестиции в сельское хозяйство и промышленность (табл. 1.3). 2019-2023 гг. – Государственная образовательная ассоциация YEOII, избыточный рост кредитования инвесторов в капитальное финансирование, Управление по содействию инвестициям в капитальное финансирование, Инвестиционные фонды сельскохозяйственного сотрудничества, Армения 2 Кыргызстан и Российская Федерация поддержали работу на уровне 0,7 нечеткого диапазона, зафиксированы торговые тенденции. Такая ситуация в YEOII показывает положительную ситуацию с точки зрения перевооружения региональных капитальных инженеров и техников, интенсивных производственных исследований, отрицательную – с точки зрения Бюро развития сельскохозяйственного сектора. В связи с проблемами окружающей среды в стране, многие аспекты, особенно климат, управление природными ресурсами, инвестиции и образование, становятся все более сложными. Стоит отметить, что «в 2023 году страны YEOII увеличат темпы роста ВВП в 3,8 раза», — предлагает Бюро развития сельского хозяйства увеличить объем инвестиций. Лесная группа Продовольственной и сельскохозяйственной организации ООН (ФАО) считает, что «для удовлетворения растущего спроса на сельскохозяйственную продукцию к 2050 году необходимо создать биопродовольственный остров». В соответствии с этим, экономическое развитие стран YEOII основано на ресурсах и сельскохозяйственном сотрудничестве. Страны YEOII будут продолжать привлекать в провинцию сельскохозяйственных производителей. В связи с сельским хозяйством, иностранные инвесторы привлекают все большее внимание </w:t>
      </w:r>
      <w:r w:rsidR="00497258" w:rsidRPr="00497258">
        <w:rPr>
          <w:bCs/>
          <w:kern w:val="0"/>
          <w:szCs w:val="28"/>
          <w:lang w:val="uz-Cyrl-UZ"/>
        </w:rPr>
        <w:t>.</w:t>
      </w:r>
    </w:p>
    <w:p w:rsidR="007C66ED" w:rsidRDefault="007C66ED" w:rsidP="00497258">
      <w:pPr>
        <w:spacing w:after="0" w:line="360" w:lineRule="auto"/>
        <w:jc w:val="center"/>
        <w:rPr>
          <w:b/>
          <w:kern w:val="0"/>
          <w:szCs w:val="28"/>
          <w:lang w:val="uz-Cyrl-UZ"/>
        </w:rPr>
      </w:pPr>
    </w:p>
    <w:p w:rsidR="00497258" w:rsidRPr="009249CD" w:rsidRDefault="00497258" w:rsidP="00497258">
      <w:pPr>
        <w:spacing w:after="0" w:line="360" w:lineRule="auto"/>
        <w:jc w:val="center"/>
        <w:rPr>
          <w:bCs/>
          <w:color w:val="000000"/>
          <w:kern w:val="0"/>
          <w:szCs w:val="28"/>
          <w:shd w:val="clear" w:color="auto" w:fill="FFFFFF"/>
          <w:lang w:val="uz-Cyrl-UZ"/>
        </w:rPr>
      </w:pPr>
      <w:r w:rsidRPr="00497258">
        <w:rPr>
          <w:b/>
          <w:kern w:val="0"/>
          <w:szCs w:val="28"/>
          <w:lang w:val="uz-Cyrl-UZ"/>
        </w:rPr>
        <w:t>Выводы по первой главе</w:t>
      </w:r>
    </w:p>
    <w:p w:rsidR="007C66ED" w:rsidRP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lastRenderedPageBreak/>
        <w:t>Экономические преобразования и укрепление экономики должны способствовать укреплению экономических связей, стимулированию экономического роста, устойчивому развитию, рентабельности сельской местности, а также улучшению условий жизни населения республики путем обеспечения развития приоритетных экономических направлений и финансирования.</w:t>
      </w:r>
    </w:p>
    <w:p w:rsidR="007C66ED" w:rsidRP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t>В сельском хозяйстве ассоциация представляет собой собрание владельцев трубачей, пришедших подготовить время. Результаты этого в первую очередь направлены на развитие фермерских хозяйств в буквальном смысле этого слова. Для укрепления экономического потенциала оливкового масла страны стремятся разрабатывать стратегии, основанные на возможном экономическом росте, обеспечивая при этом его рост. Поэтому рассматриваются основы развития этой среды и глубокий спрос на период деятельности организма. Прибыль, баланс производства в сети, приоритеты развития организации, развитие кордонального массажа остаются весьма эффективной задачей.</w:t>
      </w:r>
    </w:p>
    <w:p w:rsidR="007C66ED" w:rsidRP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t>Сельскохозяйственный сектор имеет важное экономическое значение, поскольку рассматривается как долгосрочный и трудоемкий источник дохода, а производство сырья для многолетних инвестиций представляет собой экономически значимую инвестицию. Развитие агропромышленности является важной частью производства других секторов, включая инвестиции в природу, труд и качественную сельскохозяйственную продукцию.</w:t>
      </w:r>
    </w:p>
    <w:p w:rsidR="007C66ED" w:rsidRP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t>В мире инвестиций в сельское хозяйство это важная и устойчивая стратегия, требующая честности и лояльности. В частности, инвестиции в условиях экономического кризиса, роста населения и экономического роста, роста потребления в зарубежных странах, а также в условиях экономических кризисов и роста числа лидеров экономического развития направляются в региональные государства. В соответствии с балансом, определяются приоритеты инвестиций в сельскохозяйственные предприятия.</w:t>
      </w:r>
    </w:p>
    <w:p w:rsidR="007C66ED" w:rsidRP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lastRenderedPageBreak/>
        <w:t>Инвестиции в сельское хозяйство следует осуществлять через инвестиционный механизм страны. Для привлечения средств для иностранных инвесторов могут использоваться паевые инвестиционные фонды (доход, прибыль). Под «иностранными» подразумеваются инвестиции в золотодобывающую отрасль, включая инвестиционный фонд развития кооперативов «Четдан», «Тошкаридин», «Чет Эль», «Чет Эльлик».</w:t>
      </w:r>
    </w:p>
    <w:p w:rsidR="007C66ED" w:rsidRP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t>Сельскохозяйственные кооперативы могут быть двух типов: первый — это объединение и инвестирование в фонды сельскохозяйственного производства, второй — объединение и анализ информации о фондах производства, третий — это объединение и анализ информации о фондах производства.</w:t>
      </w:r>
    </w:p>
    <w:p w:rsidR="007C66ED" w:rsidRP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t>направлено на содействие сельскохозяйственным инвестициям и использованию преимуществ природных ресурсов посредством сбалансированного взаимодействия институтов, инвесторов и заинтересованных сторон . Масштаб влияния, как в плане обеспечения предоставления услуг, так и в плане права на предоставление услуг, подвергается прямой критике.</w:t>
      </w:r>
    </w:p>
    <w:p w:rsidR="007C66ED" w:rsidRPr="007C66ED" w:rsidRDefault="007C66ED" w:rsidP="007C66ED">
      <w:pPr>
        <w:spacing w:after="0" w:line="360" w:lineRule="auto"/>
        <w:ind w:firstLine="720"/>
        <w:jc w:val="both"/>
        <w:rPr>
          <w:bCs/>
          <w:color w:val="000000"/>
          <w:kern w:val="0"/>
          <w:szCs w:val="28"/>
          <w:shd w:val="clear" w:color="auto" w:fill="FFFFFF"/>
          <w:lang w:val="uz-Cyrl-UZ"/>
        </w:rPr>
      </w:pPr>
      <w:r w:rsidRPr="007C66ED">
        <w:rPr>
          <w:bCs/>
          <w:color w:val="000000"/>
          <w:kern w:val="0"/>
          <w:szCs w:val="28"/>
          <w:shd w:val="clear" w:color="auto" w:fill="FFFFFF"/>
          <w:lang w:val="uz-Cyrl-UZ"/>
        </w:rPr>
        <w:t>В период 2019-2023 гг. Государственная ассоциация образования ЕОИИ по капитальному кредитованию продемонстрировала рост избыточного кредитования инвесторов, поддержку инвестиций в капитальное кредитование со стороны Ассоциации инвестиционных фондов сельскохозяйственных кооперативов, Армения 2. Кыргызстан и Российская Федерация оказали поддержку работе с размытым диапазоном 0,7, были зафиксированы торговые тенденции. Такая ситуация показывает, что с точки зрения перевооружения, интенсивных производственных исследований региональная капитальная инженерно-техническая база ЕОИИ представляет собой позитивную ситуацию, а с точки зрения развития отрасли – негативную.</w:t>
      </w:r>
    </w:p>
    <w:p w:rsidR="00497258" w:rsidRDefault="007C66ED" w:rsidP="007C66ED">
      <w:pPr>
        <w:spacing w:after="0" w:line="360" w:lineRule="auto"/>
        <w:ind w:firstLine="720"/>
        <w:jc w:val="both"/>
        <w:rPr>
          <w:rFonts w:eastAsia="Times New Roman"/>
          <w:color w:val="000000"/>
          <w:kern w:val="0"/>
          <w:szCs w:val="28"/>
          <w:lang w:val="uz-Cyrl-UZ" w:eastAsia="ru-RU"/>
        </w:rPr>
      </w:pPr>
      <w:r w:rsidRPr="007C66ED">
        <w:rPr>
          <w:bCs/>
          <w:color w:val="000000"/>
          <w:kern w:val="0"/>
          <w:szCs w:val="28"/>
          <w:shd w:val="clear" w:color="auto" w:fill="FFFFFF"/>
          <w:lang w:val="uz-Cyrl-UZ"/>
        </w:rPr>
        <w:t xml:space="preserve">Бюджет на 2019-2023 годы, предназначенный для проектов в области народонаселения, лесного хозяйства и образования взрослых (услуг), </w:t>
      </w:r>
      <w:r w:rsidRPr="007C66ED">
        <w:rPr>
          <w:bCs/>
          <w:color w:val="000000"/>
          <w:kern w:val="0"/>
          <w:szCs w:val="28"/>
          <w:shd w:val="clear" w:color="auto" w:fill="FFFFFF"/>
          <w:lang w:val="uz-Cyrl-UZ"/>
        </w:rPr>
        <w:lastRenderedPageBreak/>
        <w:t>увеличен в 2 раза. Это касается Министерства сельского хозяйства и животноводства.</w:t>
      </w:r>
    </w:p>
    <w:p w:rsidR="00010A36" w:rsidRDefault="00010A36" w:rsidP="00497258">
      <w:pPr>
        <w:spacing w:after="0" w:line="360" w:lineRule="auto"/>
        <w:ind w:firstLine="720"/>
        <w:jc w:val="both"/>
        <w:rPr>
          <w:rFonts w:eastAsia="Times New Roman"/>
          <w:color w:val="000000"/>
          <w:kern w:val="0"/>
          <w:szCs w:val="28"/>
          <w:lang w:val="uz-Cyrl-UZ" w:eastAsia="ru-RU"/>
        </w:rPr>
      </w:pPr>
    </w:p>
    <w:p w:rsidR="00010A36" w:rsidRDefault="00010A36" w:rsidP="00497258">
      <w:pPr>
        <w:spacing w:after="0" w:line="360" w:lineRule="auto"/>
        <w:ind w:firstLine="720"/>
        <w:jc w:val="both"/>
        <w:rPr>
          <w:rFonts w:eastAsia="Times New Roman"/>
          <w:color w:val="000000"/>
          <w:kern w:val="0"/>
          <w:szCs w:val="28"/>
          <w:lang w:val="uz-Cyrl-UZ" w:eastAsia="ru-RU"/>
        </w:rPr>
      </w:pPr>
    </w:p>
    <w:p w:rsidR="00010A36" w:rsidRDefault="00010A36" w:rsidP="00497258">
      <w:pPr>
        <w:spacing w:after="0" w:line="360" w:lineRule="auto"/>
        <w:ind w:firstLine="720"/>
        <w:jc w:val="both"/>
        <w:rPr>
          <w:rFonts w:eastAsia="Times New Roman"/>
          <w:color w:val="000000"/>
          <w:kern w:val="0"/>
          <w:szCs w:val="28"/>
          <w:lang w:val="uz-Cyrl-UZ" w:eastAsia="ru-RU"/>
        </w:rPr>
      </w:pPr>
    </w:p>
    <w:p w:rsidR="00010A36" w:rsidRDefault="00010A36" w:rsidP="00497258">
      <w:pPr>
        <w:spacing w:after="0" w:line="360" w:lineRule="auto"/>
        <w:ind w:firstLine="720"/>
        <w:jc w:val="both"/>
        <w:rPr>
          <w:rFonts w:eastAsia="Times New Roman"/>
          <w:color w:val="000000"/>
          <w:kern w:val="0"/>
          <w:szCs w:val="28"/>
          <w:lang w:val="uz-Cyrl-UZ" w:eastAsia="ru-RU"/>
        </w:rPr>
      </w:pPr>
    </w:p>
    <w:p w:rsidR="00010A36" w:rsidRDefault="00010A36" w:rsidP="00497258">
      <w:pPr>
        <w:spacing w:after="0" w:line="360" w:lineRule="auto"/>
        <w:ind w:firstLine="720"/>
        <w:jc w:val="both"/>
        <w:rPr>
          <w:rFonts w:eastAsia="Times New Roman"/>
          <w:color w:val="000000"/>
          <w:kern w:val="0"/>
          <w:szCs w:val="28"/>
          <w:lang w:val="uz-Cyrl-UZ" w:eastAsia="ru-RU"/>
        </w:rPr>
      </w:pPr>
    </w:p>
    <w:p w:rsidR="00010A36" w:rsidRDefault="00010A36" w:rsidP="00497258">
      <w:pPr>
        <w:spacing w:after="0" w:line="360" w:lineRule="auto"/>
        <w:ind w:firstLine="720"/>
        <w:jc w:val="both"/>
        <w:rPr>
          <w:rFonts w:eastAsia="Times New Roman"/>
          <w:color w:val="000000"/>
          <w:kern w:val="0"/>
          <w:szCs w:val="28"/>
          <w:lang w:val="uz-Cyrl-UZ" w:eastAsia="ru-RU"/>
        </w:rPr>
      </w:pPr>
    </w:p>
    <w:p w:rsidR="00010A36" w:rsidRDefault="00010A36" w:rsidP="00497258">
      <w:pPr>
        <w:spacing w:after="0" w:line="360" w:lineRule="auto"/>
        <w:ind w:firstLine="720"/>
        <w:jc w:val="both"/>
        <w:rPr>
          <w:rFonts w:eastAsia="Times New Roman"/>
          <w:color w:val="000000"/>
          <w:kern w:val="0"/>
          <w:szCs w:val="28"/>
          <w:lang w:val="uz-Cyrl-UZ" w:eastAsia="ru-RU"/>
        </w:rPr>
      </w:pPr>
    </w:p>
    <w:p w:rsidR="00010A36" w:rsidRDefault="00010A36" w:rsidP="00497258">
      <w:pPr>
        <w:spacing w:after="0" w:line="360" w:lineRule="auto"/>
        <w:ind w:firstLine="720"/>
        <w:jc w:val="both"/>
        <w:rPr>
          <w:rFonts w:eastAsia="Times New Roman"/>
          <w:color w:val="000000"/>
          <w:kern w:val="0"/>
          <w:szCs w:val="28"/>
          <w:lang w:val="uz-Cyrl-UZ" w:eastAsia="ru-RU"/>
        </w:rPr>
      </w:pPr>
    </w:p>
    <w:p w:rsidR="00010A36" w:rsidRDefault="00010A36" w:rsidP="00497258">
      <w:pPr>
        <w:spacing w:after="0" w:line="360" w:lineRule="auto"/>
        <w:ind w:firstLine="720"/>
        <w:jc w:val="both"/>
        <w:rPr>
          <w:rFonts w:eastAsia="Times New Roman"/>
          <w:color w:val="000000"/>
          <w:kern w:val="0"/>
          <w:szCs w:val="28"/>
          <w:lang w:val="uz-Cyrl-UZ" w:eastAsia="ru-RU"/>
        </w:rPr>
      </w:pPr>
    </w:p>
    <w:p w:rsidR="007C66ED" w:rsidRDefault="007C66ED" w:rsidP="00497258">
      <w:pPr>
        <w:spacing w:after="0" w:line="360" w:lineRule="auto"/>
        <w:ind w:firstLine="720"/>
        <w:jc w:val="both"/>
        <w:rPr>
          <w:rFonts w:eastAsia="Times New Roman"/>
          <w:color w:val="000000"/>
          <w:kern w:val="0"/>
          <w:szCs w:val="28"/>
          <w:lang w:val="uz-Cyrl-UZ" w:eastAsia="ru-RU"/>
        </w:rPr>
      </w:pPr>
    </w:p>
    <w:p w:rsidR="007C66ED" w:rsidRDefault="007C66ED" w:rsidP="00497258">
      <w:pPr>
        <w:spacing w:after="0" w:line="360" w:lineRule="auto"/>
        <w:ind w:firstLine="720"/>
        <w:jc w:val="both"/>
        <w:rPr>
          <w:rFonts w:eastAsia="Times New Roman"/>
          <w:color w:val="000000"/>
          <w:kern w:val="0"/>
          <w:szCs w:val="28"/>
          <w:lang w:val="uz-Cyrl-UZ" w:eastAsia="ru-RU"/>
        </w:rPr>
      </w:pPr>
    </w:p>
    <w:p w:rsidR="007C66ED" w:rsidRDefault="007C66ED" w:rsidP="00497258">
      <w:pPr>
        <w:spacing w:after="0" w:line="360" w:lineRule="auto"/>
        <w:ind w:firstLine="720"/>
        <w:jc w:val="both"/>
        <w:rPr>
          <w:rFonts w:eastAsia="Times New Roman"/>
          <w:color w:val="000000"/>
          <w:kern w:val="0"/>
          <w:szCs w:val="28"/>
          <w:lang w:val="uz-Cyrl-UZ" w:eastAsia="ru-RU"/>
        </w:rPr>
      </w:pPr>
    </w:p>
    <w:p w:rsidR="007C66ED" w:rsidRDefault="007C66ED" w:rsidP="00497258">
      <w:pPr>
        <w:spacing w:after="0" w:line="360" w:lineRule="auto"/>
        <w:ind w:firstLine="720"/>
        <w:jc w:val="both"/>
        <w:rPr>
          <w:rFonts w:eastAsia="Times New Roman"/>
          <w:color w:val="000000"/>
          <w:kern w:val="0"/>
          <w:szCs w:val="28"/>
          <w:lang w:val="uz-Cyrl-UZ" w:eastAsia="ru-RU"/>
        </w:rPr>
      </w:pPr>
    </w:p>
    <w:p w:rsidR="007C66ED" w:rsidRDefault="007C66ED" w:rsidP="00497258">
      <w:pPr>
        <w:spacing w:after="0" w:line="360" w:lineRule="auto"/>
        <w:ind w:firstLine="720"/>
        <w:jc w:val="both"/>
        <w:rPr>
          <w:rFonts w:eastAsia="Times New Roman"/>
          <w:color w:val="000000"/>
          <w:kern w:val="0"/>
          <w:szCs w:val="28"/>
          <w:lang w:val="uz-Cyrl-UZ" w:eastAsia="ru-RU"/>
        </w:rPr>
      </w:pPr>
    </w:p>
    <w:p w:rsidR="00010A36" w:rsidRDefault="00010A36" w:rsidP="00497258">
      <w:pPr>
        <w:spacing w:after="0" w:line="360" w:lineRule="auto"/>
        <w:ind w:firstLine="720"/>
        <w:jc w:val="both"/>
        <w:rPr>
          <w:rFonts w:eastAsia="Times New Roman"/>
          <w:color w:val="000000"/>
          <w:kern w:val="0"/>
          <w:szCs w:val="28"/>
          <w:lang w:val="uz-Cyrl-UZ" w:eastAsia="ru-RU"/>
        </w:rPr>
      </w:pPr>
    </w:p>
    <w:p w:rsidR="00010A36" w:rsidRPr="00010A36" w:rsidRDefault="00010A36" w:rsidP="00010A36">
      <w:pPr>
        <w:spacing w:after="0" w:line="360" w:lineRule="auto"/>
        <w:jc w:val="center"/>
        <w:rPr>
          <w:b/>
          <w:noProof/>
          <w:kern w:val="0"/>
          <w:szCs w:val="28"/>
          <w:lang w:val="uz-Cyrl-UZ"/>
        </w:rPr>
      </w:pPr>
      <w:r w:rsidRPr="00010A36">
        <w:rPr>
          <w:b/>
          <w:kern w:val="0"/>
          <w:szCs w:val="28"/>
          <w:lang w:val="uz-Cyrl-UZ"/>
        </w:rPr>
        <w:t xml:space="preserve">ГЛАВА II. </w:t>
      </w:r>
      <w:r w:rsidRPr="00010A36">
        <w:rPr>
          <w:b/>
          <w:noProof/>
          <w:kern w:val="0"/>
          <w:szCs w:val="28"/>
          <w:lang w:val="uz-Cyrl-UZ"/>
        </w:rPr>
        <w:t>АНАЛИЗ ТЕКУЩЕЙ СИТУАЦИИ С ПРИВЛЕЧЕНИЕМ ИНВЕСТИЦИЙ В СЕЛЬСКОХОЗЯЙСТВЕННЫЙ СЕКТОР</w:t>
      </w:r>
    </w:p>
    <w:p w:rsidR="00A24EF3" w:rsidRDefault="00A24EF3" w:rsidP="00A24EF3">
      <w:pPr>
        <w:spacing w:after="0" w:line="360" w:lineRule="auto"/>
        <w:jc w:val="center"/>
        <w:rPr>
          <w:b/>
          <w:bCs/>
          <w:kern w:val="0"/>
          <w:szCs w:val="28"/>
          <w:lang w:val="uz-Cyrl-UZ"/>
        </w:rPr>
      </w:pPr>
      <w:r w:rsidRPr="00A24EF3">
        <w:rPr>
          <w:b/>
          <w:bCs/>
          <w:kern w:val="0"/>
          <w:szCs w:val="28"/>
          <w:lang w:val="uz-Cyrl-UZ"/>
        </w:rPr>
        <w:t>§ 2.1 Анализ привлечения инвестиций в аграрный сектор на основе эконометрических моделей</w:t>
      </w:r>
    </w:p>
    <w:p w:rsidR="00A24EF3" w:rsidRPr="008F2BEA" w:rsidRDefault="007C66ED" w:rsidP="008F2BEA">
      <w:pPr>
        <w:spacing w:after="0" w:line="360" w:lineRule="auto"/>
        <w:ind w:firstLine="708"/>
        <w:jc w:val="both"/>
        <w:rPr>
          <w:szCs w:val="28"/>
          <w:lang w:val="uz-Cyrl-UZ"/>
        </w:rPr>
      </w:pPr>
      <w:r w:rsidRPr="007C66ED">
        <w:rPr>
          <w:szCs w:val="28"/>
          <w:lang w:val="uz-Cyrl-UZ"/>
        </w:rPr>
        <w:t>Данная диссертация способствует развитию экономически ориентированных организаций путем повышения интереса инвесторов к сельскому хозяйству. В условиях ускоренного глобального экономического роста инвестиции и оценка стоимости являются важными факторами при анализе привлекательных бизнес-перспектив. Кроме того, рассматриваются государственные политические партии, финансовые институты, механизмы частных инвестиций и инвестиции частного сектора, сельскохозяйственные партнерства и развитие институциональных холдингов, основанных на знаниях.</w:t>
      </w:r>
    </w:p>
    <w:p w:rsidR="007C66ED" w:rsidRPr="00DF774B" w:rsidRDefault="007C66ED" w:rsidP="007C66ED">
      <w:pPr>
        <w:spacing w:after="0" w:line="360" w:lineRule="auto"/>
        <w:ind w:firstLine="708"/>
        <w:jc w:val="both"/>
        <w:rPr>
          <w:rFonts w:eastAsia="Times New Roman"/>
          <w:szCs w:val="28"/>
          <w:lang w:val="ru-RU" w:eastAsia="ru-RU"/>
        </w:rPr>
      </w:pPr>
      <w:r w:rsidRPr="008F2BEA">
        <w:rPr>
          <w:rFonts w:eastAsia="Times New Roman"/>
          <w:szCs w:val="28"/>
          <w:lang w:val="uz-Cyrl-UZ" w:eastAsia="ru-RU"/>
        </w:rPr>
        <w:lastRenderedPageBreak/>
        <w:t xml:space="preserve">Национальные и иностранные инвестиции в корпоративный капитал Узбекистана в 2010–2024 годах, иностранные инвестиции, связанные с зарубежной экономикой, кредиты, субсидии, налоговые ставки при поддержке иностранных интересов. </w:t>
      </w:r>
      <w:r w:rsidRPr="00DF774B">
        <w:rPr>
          <w:rFonts w:eastAsia="Times New Roman"/>
          <w:szCs w:val="28"/>
          <w:lang w:val="ru-RU" w:eastAsia="ru-RU"/>
        </w:rPr>
        <w:t>Вопросы динамики экономического роста имеют очень важный потенциал для критического анализа в связи с инвестиционными потребностями, влияющими на производительность сектора.</w:t>
      </w:r>
    </w:p>
    <w:p w:rsidR="007C66ED" w:rsidRPr="00DF774B" w:rsidRDefault="007C66ED" w:rsidP="007C66ED">
      <w:pPr>
        <w:spacing w:after="0" w:line="360" w:lineRule="auto"/>
        <w:ind w:firstLine="708"/>
        <w:jc w:val="both"/>
        <w:rPr>
          <w:rFonts w:eastAsia="Times New Roman"/>
          <w:szCs w:val="28"/>
          <w:lang w:val="ru-RU" w:eastAsia="ru-RU"/>
        </w:rPr>
      </w:pPr>
      <w:r w:rsidRPr="00DF774B">
        <w:rPr>
          <w:rFonts w:eastAsia="Times New Roman"/>
          <w:szCs w:val="28"/>
          <w:lang w:val="ru-RU" w:eastAsia="ru-RU"/>
        </w:rPr>
        <w:t>В целом, чем выше отношение капиталовложений к национальной валюте, тем больше выделяется кредитов и инвестиций. В 2010 году объем инвестиционного фонда достигнет 11 триллионов суверенных фондов, в 2023 году — 164,2 триллиона суверенных фондов, а объем проектов — 15 миллиардов. 2024 год станет годом рынка.</w:t>
      </w:r>
    </w:p>
    <w:p w:rsidR="007C66ED" w:rsidRPr="00DF774B" w:rsidRDefault="007C66ED" w:rsidP="007C66ED">
      <w:pPr>
        <w:spacing w:after="0" w:line="360" w:lineRule="auto"/>
        <w:ind w:firstLine="708"/>
        <w:jc w:val="both"/>
        <w:rPr>
          <w:rFonts w:eastAsia="Times New Roman"/>
          <w:szCs w:val="28"/>
          <w:lang w:val="ru-RU" w:eastAsia="ru-RU"/>
        </w:rPr>
      </w:pPr>
      <w:r w:rsidRPr="00DF774B">
        <w:rPr>
          <w:rFonts w:eastAsia="Times New Roman"/>
          <w:szCs w:val="28"/>
          <w:lang w:val="ru-RU" w:eastAsia="ru-RU"/>
        </w:rPr>
        <w:t>Объем иностранных инвестиций достигнет 4,26 триллиона в 2010 году и 414,38 триллиона в 2024 году, что составляет 100%-ный рост. Между тем, в конце 2018 года наблюдался резкий рост, что является явным признаком экономических, политических и военных изменений в стране.</w:t>
      </w:r>
    </w:p>
    <w:p w:rsidR="007C66ED" w:rsidRPr="00DF774B" w:rsidRDefault="007C66ED" w:rsidP="007C66ED">
      <w:pPr>
        <w:spacing w:after="0" w:line="360" w:lineRule="auto"/>
        <w:ind w:firstLine="708"/>
        <w:jc w:val="both"/>
        <w:rPr>
          <w:rFonts w:eastAsia="Times New Roman"/>
          <w:szCs w:val="28"/>
          <w:lang w:val="ru-RU" w:eastAsia="ru-RU"/>
        </w:rPr>
      </w:pPr>
      <w:r w:rsidRPr="00DF774B">
        <w:rPr>
          <w:rFonts w:eastAsia="Times New Roman"/>
          <w:szCs w:val="28"/>
          <w:lang w:val="ru-RU" w:eastAsia="ru-RU"/>
        </w:rPr>
        <w:t>Как видно из таблицы, сельское хозяйство, паломники и спортсмены. В 2010 году эта сумма составляла 0,09 миллиарда долларов. К 2024 году она достигнет 2,13 миллиарда долларов. Рост на 50 миллиардов долларов. Этот сектор является признаком иностранных инвестиций и успеха страны. В 2010 году объем кредитов достиг 7,02 триллиона долларов, а в 2024 году — 20,33 триллиона долларов. В моей стране работа остановилась на день.</w:t>
      </w:r>
    </w:p>
    <w:p w:rsidR="007C66ED" w:rsidRPr="00DF774B" w:rsidRDefault="007C66ED" w:rsidP="007C66ED">
      <w:pPr>
        <w:spacing w:after="0" w:line="360" w:lineRule="auto"/>
        <w:ind w:firstLine="708"/>
        <w:jc w:val="both"/>
        <w:rPr>
          <w:rFonts w:eastAsia="Times New Roman"/>
          <w:szCs w:val="28"/>
          <w:lang w:val="ru-RU" w:eastAsia="ru-RU"/>
        </w:rPr>
      </w:pPr>
      <w:r w:rsidRPr="00DF774B">
        <w:rPr>
          <w:rFonts w:eastAsia="Times New Roman"/>
          <w:szCs w:val="28"/>
          <w:lang w:val="ru-RU" w:eastAsia="ru-RU"/>
        </w:rPr>
        <w:t>Ожидается, что субсидии увеличатся до 0,79 триллиона в 2010 году и до 1,65 триллиона в 2024 году. Это свидетельствует об укреплении механизма поддержки сельскохозяйственного образования в штате.</w:t>
      </w:r>
    </w:p>
    <w:p w:rsidR="007C66ED" w:rsidRPr="00DF774B" w:rsidRDefault="007C66ED" w:rsidP="007C66ED">
      <w:pPr>
        <w:spacing w:after="0" w:line="360" w:lineRule="auto"/>
        <w:ind w:firstLine="708"/>
        <w:jc w:val="both"/>
        <w:rPr>
          <w:rFonts w:eastAsia="Times New Roman"/>
          <w:szCs w:val="28"/>
          <w:lang w:val="ru-RU" w:eastAsia="ru-RU"/>
        </w:rPr>
      </w:pPr>
      <w:r w:rsidRPr="00DF774B">
        <w:rPr>
          <w:rFonts w:eastAsia="Times New Roman"/>
          <w:szCs w:val="28"/>
          <w:lang w:val="ru-RU" w:eastAsia="ru-RU"/>
        </w:rPr>
        <w:t>Процентные ставки вырастут с 16 процентов в 2010 году до 13,5 процентов в 2024 году, что увеличит кредитные ресурсы штата.</w:t>
      </w:r>
    </w:p>
    <w:p w:rsidR="00B36355" w:rsidRPr="00DF774B" w:rsidRDefault="007C66ED" w:rsidP="007C66ED">
      <w:pPr>
        <w:spacing w:after="0" w:line="360" w:lineRule="auto"/>
        <w:ind w:firstLine="708"/>
        <w:jc w:val="both"/>
        <w:rPr>
          <w:rFonts w:eastAsia="Times New Roman"/>
          <w:szCs w:val="28"/>
          <w:lang w:val="ru-RU" w:eastAsia="ru-RU"/>
        </w:rPr>
      </w:pPr>
      <w:r w:rsidRPr="00DF774B">
        <w:rPr>
          <w:rFonts w:eastAsia="Times New Roman"/>
          <w:szCs w:val="28"/>
          <w:lang w:val="ru-RU" w:eastAsia="ru-RU"/>
        </w:rPr>
        <w:t xml:space="preserve">Согласно результатам анализа, общий объем трудноперерабатываемой сельскохозяйственной продукции не оценивается. В 2010 году он составит 30,86 триллиона, а в 2024 году — 444,59 триллиона, что составляет около 14 </w:t>
      </w:r>
      <w:r w:rsidRPr="00DF774B">
        <w:rPr>
          <w:rFonts w:eastAsia="Times New Roman"/>
          <w:szCs w:val="28"/>
          <w:lang w:val="ru-RU" w:eastAsia="ru-RU"/>
        </w:rPr>
        <w:lastRenderedPageBreak/>
        <w:t>миллионов долларов. Эти инвестиции, кредиты и субсидии будут способствовать росту баланса экономики.</w:t>
      </w:r>
    </w:p>
    <w:p w:rsidR="007C66ED" w:rsidRDefault="00F50397" w:rsidP="007C66ED">
      <w:pPr>
        <w:spacing w:after="0" w:line="360" w:lineRule="auto"/>
        <w:jc w:val="both"/>
        <w:rPr>
          <w:color w:val="000000"/>
          <w:szCs w:val="28"/>
          <w:lang w:val="en-US"/>
        </w:rPr>
      </w:pPr>
      <w:r w:rsidRPr="00877CC4">
        <w:rPr>
          <w:noProof/>
          <w:color w:val="000000"/>
          <w:szCs w:val="28"/>
          <w:lang w:val="ru-RU" w:eastAsia="ru-RU"/>
        </w:rPr>
        <w:drawing>
          <wp:inline distT="0" distB="0" distL="0" distR="0">
            <wp:extent cx="5943600" cy="3390900"/>
            <wp:effectExtent l="0" t="0" r="0" b="0"/>
            <wp:docPr id="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390900"/>
                    </a:xfrm>
                    <a:prstGeom prst="rect">
                      <a:avLst/>
                    </a:prstGeom>
                    <a:noFill/>
                    <a:ln>
                      <a:noFill/>
                    </a:ln>
                  </pic:spPr>
                </pic:pic>
              </a:graphicData>
            </a:graphic>
          </wp:inline>
        </w:drawing>
      </w:r>
    </w:p>
    <w:p w:rsidR="007C66ED" w:rsidRPr="00DF774B" w:rsidRDefault="007C66ED" w:rsidP="007C66ED">
      <w:pPr>
        <w:spacing w:after="0" w:line="360" w:lineRule="auto"/>
        <w:ind w:firstLine="708"/>
        <w:jc w:val="both"/>
        <w:rPr>
          <w:color w:val="000000"/>
          <w:szCs w:val="28"/>
          <w:lang w:val="ru-RU"/>
        </w:rPr>
      </w:pPr>
      <w:r w:rsidRPr="00DF774B">
        <w:rPr>
          <w:color w:val="000000"/>
          <w:szCs w:val="28"/>
          <w:lang w:val="ru-RU"/>
        </w:rPr>
        <w:t>Во-первых, инвестиционный портфель корпоративного капитала страны составляет 67,76 триллиона юаней, с минимальным значением в 11 триллионов юаней и максимальным значением в 164,7 триллиона юаней. Эти значения типичны для инвестиций в крупные геологоразведочные компании Кении.</w:t>
      </w:r>
    </w:p>
    <w:p w:rsidR="007C66ED" w:rsidRPr="00DF774B" w:rsidRDefault="007C66ED" w:rsidP="007C66ED">
      <w:pPr>
        <w:spacing w:after="0" w:line="360" w:lineRule="auto"/>
        <w:ind w:firstLine="708"/>
        <w:jc w:val="both"/>
        <w:rPr>
          <w:color w:val="000000"/>
          <w:szCs w:val="28"/>
          <w:lang w:val="ru-RU"/>
        </w:rPr>
      </w:pPr>
    </w:p>
    <w:p w:rsidR="007C66ED" w:rsidRPr="00DF774B" w:rsidRDefault="007C66ED" w:rsidP="007C66ED">
      <w:pPr>
        <w:spacing w:after="0" w:line="360" w:lineRule="auto"/>
        <w:ind w:firstLine="708"/>
        <w:jc w:val="both"/>
        <w:rPr>
          <w:color w:val="000000"/>
          <w:szCs w:val="28"/>
          <w:lang w:val="ru-RU"/>
        </w:rPr>
      </w:pPr>
      <w:r w:rsidRPr="00DF774B">
        <w:rPr>
          <w:color w:val="000000"/>
          <w:szCs w:val="28"/>
          <w:lang w:val="ru-RU"/>
        </w:rPr>
        <w:t>Согласно данным Российской ассоциации по привлечению иностранных инвестиций и развитию кредитования, общий объем инвестиций составил 69,37 триллиона сумов, со стандартным отклонением 108,58 триллиона юаней. Минимальное значение составило 4,26 триллиона вон, а максимальное — 414,38 триллиона. Данное исследование инвестиций инновационным способом обеспечило диверсификацию и формирование портфеля. Оценочный объем валютных инвестиций и кредитов составил 0,46 миллиарда. В долларовом эквиваленте малая сумма составляет 0,03 миллиарда, а большая — 2,13 миллиарда долларов. Эти данные подтверждают целесообразность инвестиций в устойчивое сельское хозяйство.</w:t>
      </w:r>
    </w:p>
    <w:p w:rsidR="007C66ED" w:rsidRPr="00DF774B" w:rsidRDefault="007C66ED" w:rsidP="007C66ED">
      <w:pPr>
        <w:spacing w:after="0" w:line="360" w:lineRule="auto"/>
        <w:ind w:firstLine="708"/>
        <w:jc w:val="both"/>
        <w:rPr>
          <w:color w:val="000000"/>
          <w:szCs w:val="28"/>
          <w:lang w:val="ru-RU"/>
        </w:rPr>
      </w:pPr>
      <w:r w:rsidRPr="00DF774B">
        <w:rPr>
          <w:color w:val="000000"/>
          <w:szCs w:val="28"/>
          <w:lang w:val="ru-RU"/>
        </w:rPr>
        <w:lastRenderedPageBreak/>
        <w:t>Общий объем текущих кредитов составил 13,16 трлн рублей, минимальное значение – 6,53 трлн рублей, максимальное – 21,13 трлн рублей. Этот кредит, хотя и является общим, предназначен для устойчивого роста и строительства уже существующего. Субсидии составили 1,56 трлн рублей, минимальное значение – 0,68 трлн, максимальное – 3,78 трлн рублей. Государственные услуги поддержки неуклонно растут. Средняя процентная ставка составляет 15,3 трлн, минимальное значение – 13,5 трлн, максимальное – 18 трлн.</w:t>
      </w:r>
    </w:p>
    <w:p w:rsidR="007C66ED" w:rsidRPr="00DF774B" w:rsidRDefault="007C66ED" w:rsidP="007C66ED">
      <w:pPr>
        <w:spacing w:after="0" w:line="360" w:lineRule="auto"/>
        <w:ind w:firstLine="708"/>
        <w:jc w:val="both"/>
        <w:rPr>
          <w:color w:val="000000"/>
          <w:szCs w:val="28"/>
          <w:lang w:val="ru-RU"/>
        </w:rPr>
      </w:pPr>
      <w:r w:rsidRPr="00DF774B">
        <w:rPr>
          <w:color w:val="000000"/>
          <w:szCs w:val="28"/>
          <w:lang w:val="ru-RU"/>
        </w:rPr>
        <w:t>Средний объем импорта и экспорта оценивается в 186,5 триллионов ВВП. Минимальная стоимость этих активов составляет 30,86 триллионов акций, а максимальная — 444,59 триллионов акций. Данный сектор должен быть информирован о своей деятельности.</w:t>
      </w:r>
    </w:p>
    <w:p w:rsidR="007C66ED" w:rsidRPr="00DF774B" w:rsidRDefault="007C66ED" w:rsidP="007C66ED">
      <w:pPr>
        <w:spacing w:after="0" w:line="360" w:lineRule="auto"/>
        <w:ind w:firstLine="708"/>
        <w:jc w:val="both"/>
        <w:rPr>
          <w:color w:val="000000"/>
          <w:szCs w:val="28"/>
          <w:lang w:val="ru-RU"/>
        </w:rPr>
      </w:pPr>
      <w:r w:rsidRPr="00DF774B">
        <w:rPr>
          <w:color w:val="000000"/>
          <w:szCs w:val="28"/>
          <w:lang w:val="ru-RU"/>
        </w:rPr>
        <w:t>В целом, статистический анализ не подходит для анализа накопления процентных ставок на государственные учреждения и иностранные инвестиции, кредиты и субсидии на производство экономических активов. По одной из причин, также возможно сравнение характеристик ограничивающего фактора, влияющего на экономический персонал и здоровье. Результаты описательной статистики эконометрических регрессионных моделей обеспечивают важную основу для повышения производительности сельского хозяйства.</w:t>
      </w:r>
    </w:p>
    <w:p w:rsidR="00A24EF3" w:rsidRPr="00DF774B" w:rsidRDefault="007C66ED" w:rsidP="007C66ED">
      <w:pPr>
        <w:spacing w:after="0" w:line="360" w:lineRule="auto"/>
        <w:ind w:firstLine="708"/>
        <w:jc w:val="both"/>
        <w:rPr>
          <w:rFonts w:eastAsia="Times New Roman"/>
          <w:szCs w:val="28"/>
          <w:lang w:val="ru-RU" w:eastAsia="ru-RU"/>
        </w:rPr>
      </w:pPr>
      <w:r w:rsidRPr="00DF774B">
        <w:rPr>
          <w:color w:val="000000"/>
          <w:szCs w:val="28"/>
          <w:lang w:val="ru-RU"/>
        </w:rPr>
        <w:t xml:space="preserve">Модель линейной регрессии представляет собой качественную оценку плотности модели. Это интерпретация вышеприведенных предположений «метода наименьших квадратов». Многоколледжная мусульманская условная технология между Бельгией. Эти регрессионные анализы статистически значимы, и модель использует независимые переменные для каждого связанного государства в стране. Если студенты связаны между собой, модель не может определить, чем они занимаются. Экстраполированные коэффициенты представлены с использованием стандартных отклонений, результаты рассчитаны на основе </w:t>
      </w:r>
      <w:r w:rsidRPr="007C66ED">
        <w:rPr>
          <w:color w:val="000000"/>
          <w:szCs w:val="28"/>
          <w:lang w:val="en-US"/>
        </w:rPr>
        <w:t>t</w:t>
      </w:r>
      <w:r w:rsidRPr="00DF774B">
        <w:rPr>
          <w:color w:val="000000"/>
          <w:szCs w:val="28"/>
          <w:lang w:val="ru-RU"/>
        </w:rPr>
        <w:t xml:space="preserve">-статистики и </w:t>
      </w:r>
      <w:r w:rsidRPr="007C66ED">
        <w:rPr>
          <w:color w:val="000000"/>
          <w:szCs w:val="28"/>
          <w:lang w:val="en-US"/>
        </w:rPr>
        <w:t>p</w:t>
      </w:r>
      <w:r w:rsidRPr="00DF774B">
        <w:rPr>
          <w:color w:val="000000"/>
          <w:szCs w:val="28"/>
          <w:lang w:val="ru-RU"/>
        </w:rPr>
        <w:t xml:space="preserve">-значений из описательных статистических тестов. Поскольку этот метод доступен для различных </w:t>
      </w:r>
      <w:r w:rsidRPr="00DF774B">
        <w:rPr>
          <w:color w:val="000000"/>
          <w:szCs w:val="28"/>
          <w:lang w:val="ru-RU"/>
        </w:rPr>
        <w:lastRenderedPageBreak/>
        <w:t xml:space="preserve">методов, мы провели корреляционный анализ. Корреляционный анализ потребления кофе был проведен с помощью </w:t>
      </w:r>
      <w:r w:rsidRPr="007C66ED">
        <w:rPr>
          <w:color w:val="000000"/>
          <w:szCs w:val="28"/>
          <w:lang w:val="en-US"/>
        </w:rPr>
        <w:t>Keltrib</w:t>
      </w:r>
      <w:r w:rsidRPr="00DF774B">
        <w:rPr>
          <w:color w:val="000000"/>
          <w:szCs w:val="28"/>
          <w:lang w:val="ru-RU"/>
        </w:rPr>
        <w:t>:</w:t>
      </w:r>
    </w:p>
    <w:p w:rsidR="00B36355" w:rsidRPr="00DF774B" w:rsidRDefault="0012517D" w:rsidP="00B36355">
      <w:pPr>
        <w:spacing w:after="0" w:line="360" w:lineRule="auto"/>
        <w:ind w:firstLine="708"/>
        <w:jc w:val="right"/>
        <w:rPr>
          <w:b/>
          <w:szCs w:val="28"/>
          <w:lang w:val="ru-RU"/>
        </w:rPr>
      </w:pPr>
      <w:r w:rsidRPr="00DF774B">
        <w:rPr>
          <w:b/>
          <w:color w:val="242021"/>
          <w:szCs w:val="28"/>
          <w:lang w:val="ru-RU"/>
        </w:rPr>
        <w:t>Таблица 2.3</w:t>
      </w:r>
    </w:p>
    <w:p w:rsidR="00B36355" w:rsidRDefault="00B36355" w:rsidP="00B36355">
      <w:pPr>
        <w:spacing w:after="0" w:line="360" w:lineRule="auto"/>
        <w:ind w:firstLine="708"/>
        <w:jc w:val="center"/>
        <w:rPr>
          <w:b/>
          <w:szCs w:val="28"/>
          <w:lang w:val="en-US"/>
        </w:rPr>
      </w:pPr>
      <w:r w:rsidRPr="008275CF">
        <w:rPr>
          <w:b/>
          <w:szCs w:val="28"/>
          <w:lang w:val="en-US"/>
        </w:rPr>
        <w:t>Таблица корреляции индикаторов</w:t>
      </w:r>
    </w:p>
    <w:tbl>
      <w:tblPr>
        <w:tblW w:w="0" w:type="auto"/>
        <w:tblLayout w:type="fixed"/>
        <w:tblLook w:val="0000" w:firstRow="0" w:lastRow="0" w:firstColumn="0" w:lastColumn="0" w:noHBand="0" w:noVBand="0"/>
      </w:tblPr>
      <w:tblGrid>
        <w:gridCol w:w="2127"/>
        <w:gridCol w:w="979"/>
        <w:gridCol w:w="978"/>
        <w:gridCol w:w="979"/>
        <w:gridCol w:w="978"/>
        <w:gridCol w:w="979"/>
        <w:gridCol w:w="978"/>
        <w:gridCol w:w="979"/>
      </w:tblGrid>
      <w:tr w:rsidR="00B36355" w:rsidRPr="00877CC4" w:rsidTr="0012517D">
        <w:tc>
          <w:tcPr>
            <w:tcW w:w="2127"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Переменные</w:t>
            </w:r>
          </w:p>
        </w:tc>
        <w:tc>
          <w:tcPr>
            <w:tcW w:w="979"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w:t>
            </w:r>
          </w:p>
        </w:tc>
        <w:tc>
          <w:tcPr>
            <w:tcW w:w="978"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(2)</w:t>
            </w:r>
          </w:p>
        </w:tc>
        <w:tc>
          <w:tcPr>
            <w:tcW w:w="979"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(3)</w:t>
            </w:r>
          </w:p>
        </w:tc>
        <w:tc>
          <w:tcPr>
            <w:tcW w:w="978"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(4)</w:t>
            </w:r>
          </w:p>
        </w:tc>
        <w:tc>
          <w:tcPr>
            <w:tcW w:w="979"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(5)</w:t>
            </w:r>
          </w:p>
        </w:tc>
        <w:tc>
          <w:tcPr>
            <w:tcW w:w="978"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(6)</w:t>
            </w:r>
          </w:p>
        </w:tc>
        <w:tc>
          <w:tcPr>
            <w:tcW w:w="979"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(7)</w:t>
            </w:r>
          </w:p>
        </w:tc>
      </w:tr>
      <w:tr w:rsidR="00B36355" w:rsidRPr="00877CC4" w:rsidTr="0012517D">
        <w:trPr>
          <w:gridAfter w:val="6"/>
          <w:wAfter w:w="5871" w:type="dxa"/>
        </w:trPr>
        <w:tc>
          <w:tcPr>
            <w:tcW w:w="2127"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(1) Фермеры</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1.000</w:t>
            </w:r>
          </w:p>
        </w:tc>
      </w:tr>
      <w:tr w:rsidR="00B36355" w:rsidRPr="00877CC4" w:rsidTr="0012517D">
        <w:trPr>
          <w:gridAfter w:val="5"/>
          <w:wAfter w:w="4893" w:type="dxa"/>
        </w:trPr>
        <w:tc>
          <w:tcPr>
            <w:tcW w:w="2127"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(2) ИнАкционерный капитал</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0,928</w:t>
            </w:r>
          </w:p>
        </w:tc>
        <w:tc>
          <w:tcPr>
            <w:tcW w:w="97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1.000</w:t>
            </w:r>
          </w:p>
        </w:tc>
      </w:tr>
      <w:tr w:rsidR="00B36355" w:rsidRPr="00877CC4" w:rsidTr="0012517D">
        <w:trPr>
          <w:gridAfter w:val="4"/>
          <w:wAfter w:w="3914" w:type="dxa"/>
        </w:trPr>
        <w:tc>
          <w:tcPr>
            <w:tcW w:w="2127"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(3) lnФиксированный капитал</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0,957</w:t>
            </w:r>
          </w:p>
        </w:tc>
        <w:tc>
          <w:tcPr>
            <w:tcW w:w="97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0,857</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1.000</w:t>
            </w:r>
          </w:p>
        </w:tc>
      </w:tr>
      <w:tr w:rsidR="00B36355" w:rsidRPr="00877CC4" w:rsidTr="0012517D">
        <w:trPr>
          <w:gridAfter w:val="3"/>
          <w:wAfter w:w="2936" w:type="dxa"/>
        </w:trPr>
        <w:tc>
          <w:tcPr>
            <w:tcW w:w="2127"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(4) lnQishloqkhojal~</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0,792</w:t>
            </w:r>
          </w:p>
        </w:tc>
        <w:tc>
          <w:tcPr>
            <w:tcW w:w="97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0,714</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0.910</w:t>
            </w:r>
          </w:p>
        </w:tc>
        <w:tc>
          <w:tcPr>
            <w:tcW w:w="97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1.000</w:t>
            </w:r>
          </w:p>
        </w:tc>
      </w:tr>
      <w:tr w:rsidR="00B36355" w:rsidRPr="00877CC4" w:rsidTr="0012517D">
        <w:trPr>
          <w:gridAfter w:val="2"/>
          <w:wAfter w:w="1957" w:type="dxa"/>
        </w:trPr>
        <w:tc>
          <w:tcPr>
            <w:tcW w:w="2127"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(5) Сельское хозяйство</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0,909</w:t>
            </w:r>
          </w:p>
        </w:tc>
        <w:tc>
          <w:tcPr>
            <w:tcW w:w="97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0,840</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0,859</w:t>
            </w:r>
          </w:p>
        </w:tc>
        <w:tc>
          <w:tcPr>
            <w:tcW w:w="97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0,746</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1.000</w:t>
            </w:r>
          </w:p>
        </w:tc>
      </w:tr>
      <w:tr w:rsidR="00B36355" w:rsidRPr="00877CC4" w:rsidTr="0012517D">
        <w:trPr>
          <w:gridAfter w:val="1"/>
          <w:wAfter w:w="979" w:type="dxa"/>
        </w:trPr>
        <w:tc>
          <w:tcPr>
            <w:tcW w:w="2127"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(6) Сельская местность и вода</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0,438</w:t>
            </w:r>
          </w:p>
        </w:tc>
        <w:tc>
          <w:tcPr>
            <w:tcW w:w="97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0,417</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0,354</w:t>
            </w:r>
          </w:p>
        </w:tc>
        <w:tc>
          <w:tcPr>
            <w:tcW w:w="97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0,073</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0,357</w:t>
            </w:r>
          </w:p>
        </w:tc>
        <w:tc>
          <w:tcPr>
            <w:tcW w:w="97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1.000</w:t>
            </w:r>
          </w:p>
        </w:tc>
      </w:tr>
      <w:tr w:rsidR="00B36355" w:rsidRPr="00877CC4" w:rsidTr="0012517D">
        <w:tc>
          <w:tcPr>
            <w:tcW w:w="2127"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(7) lnG</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-0.340</w:t>
            </w:r>
          </w:p>
        </w:tc>
        <w:tc>
          <w:tcPr>
            <w:tcW w:w="97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-0.264</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-0.425</w:t>
            </w:r>
          </w:p>
        </w:tc>
        <w:tc>
          <w:tcPr>
            <w:tcW w:w="97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-0.570</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-0.315</w:t>
            </w:r>
          </w:p>
        </w:tc>
        <w:tc>
          <w:tcPr>
            <w:tcW w:w="97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0,363</w:t>
            </w:r>
          </w:p>
        </w:tc>
        <w:tc>
          <w:tcPr>
            <w:tcW w:w="979"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1.000</w:t>
            </w:r>
          </w:p>
        </w:tc>
      </w:tr>
      <w:tr w:rsidR="00B36355" w:rsidRPr="00877CC4" w:rsidTr="0012517D">
        <w:tc>
          <w:tcPr>
            <w:tcW w:w="8977" w:type="dxa"/>
            <w:gridSpan w:val="8"/>
            <w:tcBorders>
              <w:top w:val="single" w:sz="6" w:space="0" w:color="auto"/>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p>
        </w:tc>
      </w:tr>
    </w:tbl>
    <w:p w:rsidR="00B36355" w:rsidRPr="001A377B" w:rsidRDefault="00B36355" w:rsidP="00B36355">
      <w:pPr>
        <w:spacing w:after="0" w:line="360" w:lineRule="auto"/>
        <w:ind w:firstLine="708"/>
        <w:jc w:val="both"/>
        <w:rPr>
          <w:rFonts w:eastAsia="Times New Roman"/>
          <w:szCs w:val="28"/>
          <w:lang w:eastAsia="ru-RU"/>
        </w:rPr>
      </w:pPr>
      <w:r w:rsidRPr="00DF774B">
        <w:rPr>
          <w:rFonts w:eastAsia="Times New Roman"/>
          <w:szCs w:val="28"/>
          <w:lang w:val="ru-RU" w:eastAsia="ru-RU"/>
        </w:rPr>
        <w:t>Выше</w:t>
      </w:r>
      <w:r w:rsidRPr="001A377B">
        <w:rPr>
          <w:rFonts w:eastAsia="Times New Roman"/>
          <w:szCs w:val="28"/>
          <w:lang w:eastAsia="ru-RU"/>
        </w:rPr>
        <w:t xml:space="preserve"> </w:t>
      </w:r>
      <w:r w:rsidRPr="00DF774B">
        <w:rPr>
          <w:rFonts w:eastAsia="Times New Roman"/>
          <w:szCs w:val="28"/>
          <w:lang w:val="ru-RU" w:eastAsia="ru-RU"/>
        </w:rPr>
        <w:t>в таблице</w:t>
      </w:r>
      <w:r w:rsidRPr="001A377B">
        <w:rPr>
          <w:rFonts w:eastAsia="Times New Roman"/>
          <w:szCs w:val="28"/>
          <w:lang w:eastAsia="ru-RU"/>
        </w:rPr>
        <w:t xml:space="preserve"> </w:t>
      </w:r>
      <w:r w:rsidRPr="00DF774B">
        <w:rPr>
          <w:rFonts w:eastAsia="Times New Roman"/>
          <w:szCs w:val="28"/>
          <w:lang w:val="ru-RU" w:eastAsia="ru-RU"/>
        </w:rPr>
        <w:t>деревня</w:t>
      </w:r>
      <w:r w:rsidRPr="001A377B">
        <w:rPr>
          <w:rFonts w:eastAsia="Times New Roman"/>
          <w:szCs w:val="28"/>
          <w:lang w:eastAsia="ru-RU"/>
        </w:rPr>
        <w:t xml:space="preserve"> </w:t>
      </w:r>
      <w:r w:rsidRPr="00DF774B">
        <w:rPr>
          <w:rFonts w:eastAsia="Times New Roman"/>
          <w:szCs w:val="28"/>
          <w:lang w:val="ru-RU" w:eastAsia="ru-RU"/>
        </w:rPr>
        <w:t>ферма</w:t>
      </w:r>
      <w:r w:rsidRPr="001A377B">
        <w:rPr>
          <w:rFonts w:eastAsia="Times New Roman"/>
          <w:szCs w:val="28"/>
          <w:lang w:eastAsia="ru-RU"/>
        </w:rPr>
        <w:t xml:space="preserve"> </w:t>
      </w:r>
      <w:r w:rsidRPr="00DF774B">
        <w:rPr>
          <w:rFonts w:eastAsia="Times New Roman"/>
          <w:szCs w:val="28"/>
          <w:lang w:val="ru-RU" w:eastAsia="ru-RU"/>
        </w:rPr>
        <w:t>продукты</w:t>
      </w:r>
      <w:r w:rsidRPr="001A377B">
        <w:rPr>
          <w:rFonts w:eastAsia="Times New Roman"/>
          <w:szCs w:val="28"/>
          <w:lang w:eastAsia="ru-RU"/>
        </w:rPr>
        <w:t xml:space="preserve"> </w:t>
      </w:r>
      <w:r w:rsidRPr="00DF774B">
        <w:rPr>
          <w:rFonts w:eastAsia="Times New Roman"/>
          <w:szCs w:val="28"/>
          <w:lang w:val="ru-RU" w:eastAsia="ru-RU"/>
        </w:rPr>
        <w:t xml:space="preserve">размер </w:t>
      </w:r>
      <w:r w:rsidRPr="001A377B">
        <w:rPr>
          <w:rFonts w:eastAsia="Times New Roman"/>
          <w:szCs w:val="28"/>
          <w:lang w:eastAsia="ru-RU"/>
        </w:rPr>
        <w:t xml:space="preserve">( </w:t>
      </w:r>
      <w:r w:rsidRPr="000F1850">
        <w:rPr>
          <w:rFonts w:eastAsia="Times New Roman"/>
          <w:szCs w:val="28"/>
          <w:lang w:val="en-US" w:eastAsia="ru-RU"/>
        </w:rPr>
        <w:t>lnAgricultural</w:t>
      </w:r>
      <w:r w:rsidRPr="00DF774B">
        <w:rPr>
          <w:rFonts w:eastAsia="Times New Roman"/>
          <w:szCs w:val="28"/>
          <w:lang w:val="ru-RU" w:eastAsia="ru-RU"/>
        </w:rPr>
        <w:t xml:space="preserve"> </w:t>
      </w:r>
      <w:r w:rsidRPr="001A377B">
        <w:rPr>
          <w:rFonts w:eastAsia="Times New Roman"/>
          <w:szCs w:val="28"/>
          <w:lang w:eastAsia="ru-RU"/>
        </w:rPr>
        <w:t xml:space="preserve">~ </w:t>
      </w:r>
      <w:r w:rsidRPr="000F1850">
        <w:rPr>
          <w:rFonts w:eastAsia="Times New Roman"/>
          <w:szCs w:val="28"/>
          <w:lang w:val="en-US" w:eastAsia="ru-RU"/>
        </w:rPr>
        <w:t>r</w:t>
      </w:r>
      <w:r w:rsidRPr="00DF774B">
        <w:rPr>
          <w:rFonts w:eastAsia="Times New Roman"/>
          <w:szCs w:val="28"/>
          <w:lang w:val="ru-RU" w:eastAsia="ru-RU"/>
        </w:rPr>
        <w:t xml:space="preserve"> </w:t>
      </w:r>
      <w:r w:rsidRPr="001A377B">
        <w:rPr>
          <w:rFonts w:eastAsia="Times New Roman"/>
          <w:szCs w:val="28"/>
          <w:lang w:eastAsia="ru-RU"/>
        </w:rPr>
        <w:t xml:space="preserve">) </w:t>
      </w:r>
      <w:r w:rsidRPr="00DF774B">
        <w:rPr>
          <w:rFonts w:eastAsia="Times New Roman"/>
          <w:szCs w:val="28"/>
          <w:lang w:val="ru-RU" w:eastAsia="ru-RU"/>
        </w:rPr>
        <w:t>и</w:t>
      </w:r>
      <w:r w:rsidRPr="001A377B">
        <w:rPr>
          <w:rFonts w:eastAsia="Times New Roman"/>
          <w:szCs w:val="28"/>
          <w:lang w:eastAsia="ru-RU"/>
        </w:rPr>
        <w:t xml:space="preserve"> </w:t>
      </w:r>
      <w:r w:rsidRPr="00DF774B">
        <w:rPr>
          <w:rFonts w:eastAsia="Times New Roman"/>
          <w:szCs w:val="28"/>
          <w:lang w:val="ru-RU" w:eastAsia="ru-RU"/>
        </w:rPr>
        <w:t>другой</w:t>
      </w:r>
      <w:r w:rsidRPr="001A377B">
        <w:rPr>
          <w:rFonts w:eastAsia="Times New Roman"/>
          <w:szCs w:val="28"/>
          <w:lang w:eastAsia="ru-RU"/>
        </w:rPr>
        <w:t xml:space="preserve"> </w:t>
      </w:r>
      <w:r w:rsidRPr="00DF774B">
        <w:rPr>
          <w:rFonts w:eastAsia="Times New Roman"/>
          <w:szCs w:val="28"/>
          <w:lang w:val="ru-RU" w:eastAsia="ru-RU"/>
        </w:rPr>
        <w:t>экономический</w:t>
      </w:r>
      <w:r w:rsidRPr="001A377B">
        <w:rPr>
          <w:rFonts w:eastAsia="Times New Roman"/>
          <w:szCs w:val="28"/>
          <w:lang w:eastAsia="ru-RU"/>
        </w:rPr>
        <w:t xml:space="preserve"> </w:t>
      </w:r>
      <w:r w:rsidRPr="00DF774B">
        <w:rPr>
          <w:rFonts w:eastAsia="Times New Roman"/>
          <w:szCs w:val="28"/>
          <w:lang w:val="ru-RU" w:eastAsia="ru-RU"/>
        </w:rPr>
        <w:t>показатели</w:t>
      </w:r>
      <w:r w:rsidRPr="001A377B">
        <w:rPr>
          <w:rFonts w:eastAsia="Times New Roman"/>
          <w:szCs w:val="28"/>
          <w:lang w:eastAsia="ru-RU"/>
        </w:rPr>
        <w:t xml:space="preserve"> </w:t>
      </w:r>
      <w:r w:rsidRPr="00DF774B">
        <w:rPr>
          <w:rFonts w:eastAsia="Times New Roman"/>
          <w:szCs w:val="28"/>
          <w:lang w:val="ru-RU" w:eastAsia="ru-RU"/>
        </w:rPr>
        <w:t>между</w:t>
      </w:r>
      <w:r w:rsidRPr="001A377B">
        <w:rPr>
          <w:rFonts w:eastAsia="Times New Roman"/>
          <w:szCs w:val="28"/>
          <w:lang w:eastAsia="ru-RU"/>
        </w:rPr>
        <w:t xml:space="preserve"> </w:t>
      </w:r>
      <w:r w:rsidRPr="00DF774B">
        <w:rPr>
          <w:rFonts w:eastAsia="Times New Roman"/>
          <w:szCs w:val="28"/>
          <w:lang w:val="ru-RU" w:eastAsia="ru-RU"/>
        </w:rPr>
        <w:t>корреляция</w:t>
      </w:r>
      <w:r w:rsidRPr="001A377B">
        <w:rPr>
          <w:rFonts w:eastAsia="Times New Roman"/>
          <w:szCs w:val="28"/>
          <w:lang w:eastAsia="ru-RU"/>
        </w:rPr>
        <w:t xml:space="preserve"> </w:t>
      </w:r>
      <w:r w:rsidRPr="00DF774B">
        <w:rPr>
          <w:rFonts w:eastAsia="Times New Roman"/>
          <w:szCs w:val="28"/>
          <w:lang w:val="ru-RU" w:eastAsia="ru-RU"/>
        </w:rPr>
        <w:t>коэффициенты</w:t>
      </w:r>
      <w:r w:rsidRPr="001A377B">
        <w:rPr>
          <w:rFonts w:eastAsia="Times New Roman"/>
          <w:szCs w:val="28"/>
          <w:lang w:eastAsia="ru-RU"/>
        </w:rPr>
        <w:t xml:space="preserve"> </w:t>
      </w:r>
      <w:r w:rsidRPr="00DF774B">
        <w:rPr>
          <w:rFonts w:eastAsia="Times New Roman"/>
          <w:szCs w:val="28"/>
          <w:lang w:val="ru-RU" w:eastAsia="ru-RU"/>
        </w:rPr>
        <w:t xml:space="preserve">Данные относятся </w:t>
      </w:r>
      <w:r w:rsidRPr="001A377B">
        <w:rPr>
          <w:rFonts w:eastAsia="Times New Roman"/>
          <w:szCs w:val="28"/>
          <w:lang w:eastAsia="ru-RU"/>
        </w:rPr>
        <w:t xml:space="preserve">к </w:t>
      </w:r>
      <w:r w:rsidRPr="00DF774B">
        <w:rPr>
          <w:rFonts w:eastAsia="Times New Roman"/>
          <w:szCs w:val="28"/>
          <w:lang w:val="ru-RU" w:eastAsia="ru-RU"/>
        </w:rPr>
        <w:t xml:space="preserve">периоду </w:t>
      </w:r>
      <w:r w:rsidRPr="001A377B">
        <w:rPr>
          <w:rFonts w:eastAsia="Times New Roman"/>
          <w:szCs w:val="28"/>
          <w:lang w:eastAsia="ru-RU"/>
        </w:rPr>
        <w:t xml:space="preserve">с 2010 по 2024 </w:t>
      </w:r>
      <w:r w:rsidRPr="00DF774B">
        <w:rPr>
          <w:rFonts w:eastAsia="Times New Roman"/>
          <w:szCs w:val="28"/>
          <w:lang w:val="ru-RU" w:eastAsia="ru-RU"/>
        </w:rPr>
        <w:t xml:space="preserve">год </w:t>
      </w:r>
      <w:r w:rsidRPr="001A377B">
        <w:rPr>
          <w:rFonts w:eastAsia="Times New Roman"/>
          <w:szCs w:val="28"/>
          <w:lang w:eastAsia="ru-RU"/>
        </w:rPr>
        <w:t xml:space="preserve">. </w:t>
      </w:r>
      <w:r w:rsidRPr="00DF774B">
        <w:rPr>
          <w:rFonts w:eastAsia="Times New Roman"/>
          <w:szCs w:val="28"/>
          <w:lang w:val="ru-RU" w:eastAsia="ru-RU"/>
        </w:rPr>
        <w:t>в диапазоне</w:t>
      </w:r>
      <w:r w:rsidRPr="001A377B">
        <w:rPr>
          <w:rFonts w:eastAsia="Times New Roman"/>
          <w:szCs w:val="28"/>
          <w:lang w:eastAsia="ru-RU"/>
        </w:rPr>
        <w:t xml:space="preserve">​ </w:t>
      </w:r>
      <w:r w:rsidRPr="00DF774B">
        <w:rPr>
          <w:rFonts w:eastAsia="Times New Roman"/>
          <w:szCs w:val="28"/>
          <w:lang w:val="ru-RU" w:eastAsia="ru-RU"/>
        </w:rPr>
        <w:t>наблюдалось</w:t>
      </w:r>
      <w:r w:rsidRPr="001A377B">
        <w:rPr>
          <w:rFonts w:eastAsia="Times New Roman"/>
          <w:szCs w:val="28"/>
          <w:lang w:eastAsia="ru-RU"/>
        </w:rPr>
        <w:t xml:space="preserve"> </w:t>
      </w:r>
      <w:r w:rsidRPr="00DF774B">
        <w:rPr>
          <w:rFonts w:eastAsia="Times New Roman"/>
          <w:szCs w:val="28"/>
          <w:lang w:val="ru-RU" w:eastAsia="ru-RU"/>
        </w:rPr>
        <w:t>изменения</w:t>
      </w:r>
      <w:r w:rsidRPr="001A377B">
        <w:rPr>
          <w:rFonts w:eastAsia="Times New Roman"/>
          <w:szCs w:val="28"/>
          <w:lang w:eastAsia="ru-RU"/>
        </w:rPr>
        <w:t xml:space="preserve"> </w:t>
      </w:r>
      <w:r w:rsidRPr="00DF774B">
        <w:rPr>
          <w:rFonts w:eastAsia="Times New Roman"/>
          <w:szCs w:val="28"/>
          <w:lang w:val="ru-RU" w:eastAsia="ru-RU"/>
        </w:rPr>
        <w:t>отражение</w:t>
      </w:r>
      <w:r w:rsidRPr="001A377B">
        <w:rPr>
          <w:rFonts w:eastAsia="Times New Roman"/>
          <w:szCs w:val="28"/>
          <w:lang w:eastAsia="ru-RU"/>
        </w:rPr>
        <w:t xml:space="preserve"> </w:t>
      </w:r>
      <w:r w:rsidRPr="00DF774B">
        <w:rPr>
          <w:rFonts w:eastAsia="Times New Roman"/>
          <w:szCs w:val="28"/>
          <w:lang w:val="ru-RU" w:eastAsia="ru-RU"/>
        </w:rPr>
        <w:t>приносит</w:t>
      </w:r>
      <w:r w:rsidRPr="001A377B">
        <w:rPr>
          <w:rFonts w:eastAsia="Times New Roman"/>
          <w:szCs w:val="28"/>
          <w:lang w:eastAsia="ru-RU"/>
        </w:rPr>
        <w:t xml:space="preserve"> </w:t>
      </w:r>
      <w:r w:rsidRPr="00DF774B">
        <w:rPr>
          <w:rFonts w:eastAsia="Times New Roman"/>
          <w:szCs w:val="28"/>
          <w:lang w:val="ru-RU" w:eastAsia="ru-RU"/>
        </w:rPr>
        <w:t>и</w:t>
      </w:r>
      <w:r w:rsidRPr="001A377B">
        <w:rPr>
          <w:rFonts w:eastAsia="Times New Roman"/>
          <w:szCs w:val="28"/>
          <w:lang w:eastAsia="ru-RU"/>
        </w:rPr>
        <w:t xml:space="preserve"> </w:t>
      </w:r>
      <w:r w:rsidRPr="00DF774B">
        <w:rPr>
          <w:rFonts w:eastAsia="Times New Roman"/>
          <w:szCs w:val="28"/>
          <w:lang w:val="ru-RU" w:eastAsia="ru-RU"/>
        </w:rPr>
        <w:t xml:space="preserve">инвестиции </w:t>
      </w:r>
      <w:r w:rsidRPr="001A377B">
        <w:rPr>
          <w:rFonts w:eastAsia="Times New Roman"/>
          <w:szCs w:val="28"/>
          <w:lang w:eastAsia="ru-RU"/>
        </w:rPr>
        <w:t xml:space="preserve">, </w:t>
      </w:r>
      <w:r w:rsidRPr="00DF774B">
        <w:rPr>
          <w:rFonts w:eastAsia="Times New Roman"/>
          <w:szCs w:val="28"/>
          <w:lang w:val="ru-RU" w:eastAsia="ru-RU"/>
        </w:rPr>
        <w:t xml:space="preserve">кредиты </w:t>
      </w:r>
      <w:r w:rsidRPr="001A377B">
        <w:rPr>
          <w:rFonts w:eastAsia="Times New Roman"/>
          <w:szCs w:val="28"/>
          <w:lang w:eastAsia="ru-RU"/>
        </w:rPr>
        <w:t xml:space="preserve">, </w:t>
      </w:r>
      <w:r w:rsidRPr="00DF774B">
        <w:rPr>
          <w:rFonts w:eastAsia="Times New Roman"/>
          <w:szCs w:val="28"/>
          <w:lang w:val="ru-RU" w:eastAsia="ru-RU"/>
        </w:rPr>
        <w:t>субсидии</w:t>
      </w:r>
      <w:r w:rsidRPr="001A377B">
        <w:rPr>
          <w:rFonts w:eastAsia="Times New Roman"/>
          <w:szCs w:val="28"/>
          <w:lang w:eastAsia="ru-RU"/>
        </w:rPr>
        <w:t xml:space="preserve"> </w:t>
      </w:r>
      <w:r w:rsidRPr="00DF774B">
        <w:rPr>
          <w:rFonts w:eastAsia="Times New Roman"/>
          <w:szCs w:val="28"/>
          <w:lang w:val="ru-RU" w:eastAsia="ru-RU"/>
        </w:rPr>
        <w:t>и</w:t>
      </w:r>
      <w:r w:rsidRPr="001A377B">
        <w:rPr>
          <w:rFonts w:eastAsia="Times New Roman"/>
          <w:szCs w:val="28"/>
          <w:lang w:eastAsia="ru-RU"/>
        </w:rPr>
        <w:t xml:space="preserve"> </w:t>
      </w:r>
      <w:r w:rsidRPr="00DF774B">
        <w:rPr>
          <w:rFonts w:eastAsia="Times New Roman"/>
          <w:szCs w:val="28"/>
          <w:lang w:val="ru-RU" w:eastAsia="ru-RU"/>
        </w:rPr>
        <w:t>процент</w:t>
      </w:r>
      <w:r w:rsidRPr="001A377B">
        <w:rPr>
          <w:rFonts w:eastAsia="Times New Roman"/>
          <w:szCs w:val="28"/>
          <w:lang w:eastAsia="ru-RU"/>
        </w:rPr>
        <w:t xml:space="preserve"> </w:t>
      </w:r>
      <w:r w:rsidRPr="00DF774B">
        <w:rPr>
          <w:rFonts w:eastAsia="Times New Roman"/>
          <w:szCs w:val="28"/>
          <w:lang w:val="ru-RU" w:eastAsia="ru-RU"/>
        </w:rPr>
        <w:t>ставки</w:t>
      </w:r>
      <w:r w:rsidRPr="001A377B">
        <w:rPr>
          <w:rFonts w:eastAsia="Times New Roman"/>
          <w:szCs w:val="28"/>
          <w:lang w:eastAsia="ru-RU"/>
        </w:rPr>
        <w:t xml:space="preserve"> </w:t>
      </w:r>
      <w:r w:rsidRPr="00DF774B">
        <w:rPr>
          <w:rFonts w:eastAsia="Times New Roman"/>
          <w:szCs w:val="28"/>
          <w:lang w:val="ru-RU" w:eastAsia="ru-RU"/>
        </w:rPr>
        <w:t>с</w:t>
      </w:r>
      <w:r w:rsidRPr="001A377B">
        <w:rPr>
          <w:rFonts w:eastAsia="Times New Roman"/>
          <w:szCs w:val="28"/>
          <w:lang w:eastAsia="ru-RU"/>
        </w:rPr>
        <w:t xml:space="preserve"> </w:t>
      </w:r>
      <w:r w:rsidRPr="00DF774B">
        <w:rPr>
          <w:rFonts w:eastAsia="Times New Roman"/>
          <w:szCs w:val="28"/>
          <w:lang w:val="ru-RU" w:eastAsia="ru-RU"/>
        </w:rPr>
        <w:t>деревня</w:t>
      </w:r>
      <w:r w:rsidRPr="001A377B">
        <w:rPr>
          <w:rFonts w:eastAsia="Times New Roman"/>
          <w:szCs w:val="28"/>
          <w:lang w:eastAsia="ru-RU"/>
        </w:rPr>
        <w:t xml:space="preserve"> </w:t>
      </w:r>
      <w:r w:rsidRPr="00DF774B">
        <w:rPr>
          <w:rFonts w:eastAsia="Times New Roman"/>
          <w:szCs w:val="28"/>
          <w:lang w:val="ru-RU" w:eastAsia="ru-RU"/>
        </w:rPr>
        <w:t>ферма</w:t>
      </w:r>
      <w:r w:rsidRPr="001A377B">
        <w:rPr>
          <w:rFonts w:eastAsia="Times New Roman"/>
          <w:szCs w:val="28"/>
          <w:lang w:eastAsia="ru-RU"/>
        </w:rPr>
        <w:t xml:space="preserve"> </w:t>
      </w:r>
      <w:r w:rsidRPr="00DF774B">
        <w:rPr>
          <w:rFonts w:eastAsia="Times New Roman"/>
          <w:szCs w:val="28"/>
          <w:lang w:val="ru-RU" w:eastAsia="ru-RU"/>
        </w:rPr>
        <w:t>работающий</w:t>
      </w:r>
      <w:r w:rsidRPr="001A377B">
        <w:rPr>
          <w:rFonts w:eastAsia="Times New Roman"/>
          <w:szCs w:val="28"/>
          <w:lang w:eastAsia="ru-RU"/>
        </w:rPr>
        <w:t xml:space="preserve"> </w:t>
      </w:r>
      <w:r w:rsidRPr="00DF774B">
        <w:rPr>
          <w:rFonts w:eastAsia="Times New Roman"/>
          <w:szCs w:val="28"/>
          <w:lang w:val="ru-RU" w:eastAsia="ru-RU"/>
        </w:rPr>
        <w:t>выпускать</w:t>
      </w:r>
      <w:r w:rsidRPr="001A377B">
        <w:rPr>
          <w:rFonts w:eastAsia="Times New Roman"/>
          <w:szCs w:val="28"/>
          <w:lang w:eastAsia="ru-RU"/>
        </w:rPr>
        <w:t xml:space="preserve"> </w:t>
      </w:r>
      <w:r w:rsidRPr="00DF774B">
        <w:rPr>
          <w:rFonts w:eastAsia="Times New Roman"/>
          <w:szCs w:val="28"/>
          <w:lang w:val="ru-RU" w:eastAsia="ru-RU"/>
        </w:rPr>
        <w:t>между</w:t>
      </w:r>
      <w:r w:rsidRPr="001A377B">
        <w:rPr>
          <w:rFonts w:eastAsia="Times New Roman"/>
          <w:szCs w:val="28"/>
          <w:lang w:eastAsia="ru-RU"/>
        </w:rPr>
        <w:t xml:space="preserve"> </w:t>
      </w:r>
      <w:r w:rsidRPr="00DF774B">
        <w:rPr>
          <w:rFonts w:eastAsia="Times New Roman"/>
          <w:szCs w:val="28"/>
          <w:lang w:val="ru-RU" w:eastAsia="ru-RU"/>
        </w:rPr>
        <w:t xml:space="preserve">друг </w:t>
      </w:r>
      <w:r w:rsidRPr="001A377B">
        <w:rPr>
          <w:rFonts w:eastAsia="Times New Roman"/>
          <w:szCs w:val="28"/>
          <w:lang w:eastAsia="ru-RU"/>
        </w:rPr>
        <w:t xml:space="preserve">друга </w:t>
      </w:r>
      <w:r w:rsidRPr="00DF774B">
        <w:rPr>
          <w:rFonts w:eastAsia="Times New Roman"/>
          <w:szCs w:val="28"/>
          <w:lang w:val="ru-RU" w:eastAsia="ru-RU"/>
        </w:rPr>
        <w:t>зависимость</w:t>
      </w:r>
      <w:r w:rsidRPr="001A377B">
        <w:rPr>
          <w:rFonts w:eastAsia="Times New Roman"/>
          <w:szCs w:val="28"/>
          <w:lang w:eastAsia="ru-RU"/>
        </w:rPr>
        <w:t xml:space="preserve"> </w:t>
      </w:r>
      <w:r w:rsidRPr="00DF774B">
        <w:rPr>
          <w:rFonts w:eastAsia="Times New Roman"/>
          <w:szCs w:val="28"/>
          <w:lang w:val="ru-RU" w:eastAsia="ru-RU"/>
        </w:rPr>
        <w:t xml:space="preserve">показывает </w:t>
      </w:r>
      <w:r w:rsidRPr="001A377B">
        <w:rPr>
          <w:rFonts w:eastAsia="Times New Roman"/>
          <w:szCs w:val="28"/>
          <w:lang w:eastAsia="ru-RU"/>
        </w:rPr>
        <w:t>.</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Результаты</w:t>
      </w:r>
      <w:r w:rsidRPr="001A377B">
        <w:rPr>
          <w:rFonts w:eastAsia="Times New Roman"/>
          <w:szCs w:val="28"/>
          <w:lang w:eastAsia="ru-RU"/>
        </w:rPr>
        <w:t xml:space="preserve"> </w:t>
      </w:r>
      <w:r w:rsidRPr="00DF774B">
        <w:rPr>
          <w:rFonts w:eastAsia="Times New Roman"/>
          <w:szCs w:val="28"/>
          <w:lang w:val="ru-RU" w:eastAsia="ru-RU"/>
        </w:rPr>
        <w:t>этот</w:t>
      </w:r>
      <w:r w:rsidRPr="001A377B">
        <w:rPr>
          <w:rFonts w:eastAsia="Times New Roman"/>
          <w:szCs w:val="28"/>
          <w:lang w:eastAsia="ru-RU"/>
        </w:rPr>
        <w:t xml:space="preserve"> </w:t>
      </w:r>
      <w:r w:rsidRPr="00DF774B">
        <w:rPr>
          <w:rFonts w:eastAsia="Times New Roman"/>
          <w:szCs w:val="28"/>
          <w:lang w:val="ru-RU" w:eastAsia="ru-RU"/>
        </w:rPr>
        <w:t xml:space="preserve">показывает </w:t>
      </w:r>
      <w:r w:rsidRPr="001A377B">
        <w:rPr>
          <w:rFonts w:eastAsia="Times New Roman"/>
          <w:szCs w:val="28"/>
          <w:lang w:eastAsia="ru-RU"/>
        </w:rPr>
        <w:t xml:space="preserve">, что </w:t>
      </w:r>
      <w:r w:rsidRPr="00DF774B">
        <w:rPr>
          <w:rFonts w:eastAsia="Times New Roman"/>
          <w:szCs w:val="28"/>
          <w:lang w:val="ru-RU" w:eastAsia="ru-RU"/>
        </w:rPr>
        <w:t>деревня</w:t>
      </w:r>
      <w:r w:rsidRPr="001A377B">
        <w:rPr>
          <w:rFonts w:eastAsia="Times New Roman"/>
          <w:szCs w:val="28"/>
          <w:lang w:eastAsia="ru-RU"/>
        </w:rPr>
        <w:t xml:space="preserve"> </w:t>
      </w:r>
      <w:r w:rsidRPr="00DF774B">
        <w:rPr>
          <w:rFonts w:eastAsia="Times New Roman"/>
          <w:szCs w:val="28"/>
          <w:lang w:val="ru-RU" w:eastAsia="ru-RU"/>
        </w:rPr>
        <w:t>ферма</w:t>
      </w:r>
      <w:r w:rsidRPr="001A377B">
        <w:rPr>
          <w:rFonts w:eastAsia="Times New Roman"/>
          <w:szCs w:val="28"/>
          <w:lang w:eastAsia="ru-RU"/>
        </w:rPr>
        <w:t xml:space="preserve"> </w:t>
      </w:r>
      <w:r w:rsidRPr="00DF774B">
        <w:rPr>
          <w:rFonts w:eastAsia="Times New Roman"/>
          <w:szCs w:val="28"/>
          <w:lang w:val="ru-RU" w:eastAsia="ru-RU"/>
        </w:rPr>
        <w:t>продукты</w:t>
      </w:r>
      <w:r w:rsidRPr="001A377B">
        <w:rPr>
          <w:rFonts w:eastAsia="Times New Roman"/>
          <w:szCs w:val="28"/>
          <w:lang w:eastAsia="ru-RU"/>
        </w:rPr>
        <w:t xml:space="preserve"> </w:t>
      </w:r>
      <w:r w:rsidRPr="00DF774B">
        <w:rPr>
          <w:rFonts w:eastAsia="Times New Roman"/>
          <w:szCs w:val="28"/>
          <w:lang w:val="ru-RU" w:eastAsia="ru-RU"/>
        </w:rPr>
        <w:t xml:space="preserve">размер </w:t>
      </w:r>
      <w:r w:rsidRPr="001A377B">
        <w:rPr>
          <w:rFonts w:eastAsia="Times New Roman"/>
          <w:szCs w:val="28"/>
          <w:lang w:eastAsia="ru-RU"/>
        </w:rPr>
        <w:t xml:space="preserve">( </w:t>
      </w:r>
      <w:r w:rsidRPr="000F1850">
        <w:rPr>
          <w:rFonts w:eastAsia="Times New Roman"/>
          <w:szCs w:val="28"/>
          <w:lang w:val="en-US" w:eastAsia="ru-RU"/>
        </w:rPr>
        <w:t>lnQishloqkhojal</w:t>
      </w:r>
      <w:r w:rsidRPr="00DF774B">
        <w:rPr>
          <w:rFonts w:eastAsia="Times New Roman"/>
          <w:szCs w:val="28"/>
          <w:lang w:val="ru-RU" w:eastAsia="ru-RU"/>
        </w:rPr>
        <w:t xml:space="preserve"> </w:t>
      </w:r>
      <w:r w:rsidRPr="001A377B">
        <w:rPr>
          <w:rFonts w:eastAsia="Times New Roman"/>
          <w:szCs w:val="28"/>
          <w:lang w:eastAsia="ru-RU"/>
        </w:rPr>
        <w:t xml:space="preserve">~ </w:t>
      </w:r>
      <w:r w:rsidRPr="000F1850">
        <w:rPr>
          <w:rFonts w:eastAsia="Times New Roman"/>
          <w:szCs w:val="28"/>
          <w:lang w:val="en-US" w:eastAsia="ru-RU"/>
        </w:rPr>
        <w:t>r</w:t>
      </w:r>
      <w:r w:rsidRPr="00DF774B">
        <w:rPr>
          <w:rFonts w:eastAsia="Times New Roman"/>
          <w:szCs w:val="28"/>
          <w:lang w:val="ru-RU" w:eastAsia="ru-RU"/>
        </w:rPr>
        <w:t xml:space="preserve"> </w:t>
      </w:r>
      <w:r w:rsidRPr="001A377B">
        <w:rPr>
          <w:rFonts w:eastAsia="Times New Roman"/>
          <w:szCs w:val="28"/>
          <w:lang w:eastAsia="ru-RU"/>
        </w:rPr>
        <w:t xml:space="preserve">) </w:t>
      </w:r>
      <w:r w:rsidRPr="00DF774B">
        <w:rPr>
          <w:rFonts w:eastAsia="Times New Roman"/>
          <w:szCs w:val="28"/>
          <w:lang w:val="ru-RU" w:eastAsia="ru-RU"/>
        </w:rPr>
        <w:t>большинство</w:t>
      </w:r>
      <w:r w:rsidRPr="001A377B">
        <w:rPr>
          <w:rFonts w:eastAsia="Times New Roman"/>
          <w:szCs w:val="28"/>
          <w:lang w:eastAsia="ru-RU"/>
        </w:rPr>
        <w:t xml:space="preserve"> </w:t>
      </w:r>
      <w:r w:rsidRPr="00DF774B">
        <w:rPr>
          <w:rFonts w:eastAsia="Times New Roman"/>
          <w:szCs w:val="28"/>
          <w:lang w:val="ru-RU" w:eastAsia="ru-RU"/>
        </w:rPr>
        <w:t>высокий</w:t>
      </w:r>
      <w:r w:rsidRPr="001A377B">
        <w:rPr>
          <w:rFonts w:eastAsia="Times New Roman"/>
          <w:szCs w:val="28"/>
          <w:lang w:eastAsia="ru-RU"/>
        </w:rPr>
        <w:t xml:space="preserve"> </w:t>
      </w:r>
      <w:r w:rsidRPr="00DF774B">
        <w:rPr>
          <w:rFonts w:eastAsia="Times New Roman"/>
          <w:szCs w:val="28"/>
          <w:lang w:val="ru-RU" w:eastAsia="ru-RU"/>
        </w:rPr>
        <w:t>на уровне</w:t>
      </w:r>
      <w:r w:rsidRPr="001A377B">
        <w:rPr>
          <w:rFonts w:eastAsia="Times New Roman"/>
          <w:szCs w:val="28"/>
          <w:lang w:eastAsia="ru-RU"/>
        </w:rPr>
        <w:t xml:space="preserve"> </w:t>
      </w:r>
      <w:r w:rsidRPr="00DF774B">
        <w:rPr>
          <w:rFonts w:eastAsia="Times New Roman"/>
          <w:szCs w:val="28"/>
          <w:lang w:val="ru-RU" w:eastAsia="ru-RU"/>
        </w:rPr>
        <w:t>основной</w:t>
      </w:r>
      <w:r w:rsidRPr="001A377B">
        <w:rPr>
          <w:rFonts w:eastAsia="Times New Roman"/>
          <w:szCs w:val="28"/>
          <w:lang w:eastAsia="ru-RU"/>
        </w:rPr>
        <w:t xml:space="preserve"> </w:t>
      </w:r>
      <w:r w:rsidRPr="00DF774B">
        <w:rPr>
          <w:rFonts w:eastAsia="Times New Roman"/>
          <w:szCs w:val="28"/>
          <w:lang w:val="ru-RU" w:eastAsia="ru-RU"/>
        </w:rPr>
        <w:t>капитал</w:t>
      </w:r>
      <w:r w:rsidRPr="001A377B">
        <w:rPr>
          <w:rFonts w:eastAsia="Times New Roman"/>
          <w:szCs w:val="28"/>
          <w:lang w:eastAsia="ru-RU"/>
        </w:rPr>
        <w:t xml:space="preserve"> </w:t>
      </w:r>
      <w:r w:rsidRPr="00DF774B">
        <w:rPr>
          <w:rFonts w:eastAsia="Times New Roman"/>
          <w:szCs w:val="28"/>
          <w:lang w:val="ru-RU" w:eastAsia="ru-RU"/>
        </w:rPr>
        <w:t>инвестиции</w:t>
      </w:r>
      <w:r w:rsidRPr="001A377B">
        <w:rPr>
          <w:rFonts w:eastAsia="Times New Roman"/>
          <w:szCs w:val="28"/>
          <w:lang w:eastAsia="ru-RU"/>
        </w:rPr>
        <w:t xml:space="preserve"> </w:t>
      </w:r>
      <w:r w:rsidRPr="00DF774B">
        <w:rPr>
          <w:rFonts w:eastAsia="Times New Roman"/>
          <w:szCs w:val="28"/>
          <w:lang w:val="ru-RU" w:eastAsia="ru-RU"/>
        </w:rPr>
        <w:t>с</w:t>
      </w:r>
      <w:r w:rsidRPr="001A377B">
        <w:rPr>
          <w:rFonts w:eastAsia="Times New Roman"/>
          <w:szCs w:val="28"/>
          <w:lang w:eastAsia="ru-RU"/>
        </w:rPr>
        <w:t xml:space="preserve"> </w:t>
      </w:r>
      <w:r w:rsidRPr="00DF774B">
        <w:rPr>
          <w:rFonts w:eastAsia="Times New Roman"/>
          <w:szCs w:val="28"/>
          <w:lang w:val="ru-RU" w:eastAsia="ru-RU"/>
        </w:rPr>
        <w:t xml:space="preserve">Корреляция с инвестициями в национальной валюте составила </w:t>
      </w:r>
      <w:r w:rsidRPr="001A377B">
        <w:rPr>
          <w:rFonts w:eastAsia="Times New Roman"/>
          <w:szCs w:val="28"/>
          <w:lang w:eastAsia="ru-RU"/>
        </w:rPr>
        <w:t xml:space="preserve">0,928 , а с иностранными инвестициями — 0,957. Это свидетельствует о том , </w:t>
      </w:r>
      <w:r w:rsidRPr="00DF774B">
        <w:rPr>
          <w:rFonts w:eastAsia="Times New Roman"/>
          <w:szCs w:val="28"/>
          <w:lang w:val="ru-RU" w:eastAsia="ru-RU"/>
        </w:rPr>
        <w:t>что капиталовложения оказывают существенное влияние на объем производства в секторе.</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Кроме того, объем иностранных инвестиций и кредитов (</w:t>
      </w:r>
      <w:r w:rsidRPr="000F1850">
        <w:rPr>
          <w:rFonts w:eastAsia="Times New Roman"/>
          <w:szCs w:val="28"/>
          <w:lang w:val="en-US" w:eastAsia="ru-RU"/>
        </w:rPr>
        <w:t>lnAgriculture</w:t>
      </w:r>
      <w:r w:rsidRPr="00DF774B">
        <w:rPr>
          <w:rFonts w:eastAsia="Times New Roman"/>
          <w:szCs w:val="28"/>
          <w:lang w:val="ru-RU" w:eastAsia="ru-RU"/>
        </w:rPr>
        <w:t>) имеет высокую положительную корреляцию (0,792). Это указывает на то, что международные источники финансирования играют важную роль в сельском хозяйстве.</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Между кредитами, предоставленными сельскому хозяйству (</w:t>
      </w:r>
      <w:r w:rsidRPr="000F1850">
        <w:rPr>
          <w:rFonts w:eastAsia="Times New Roman"/>
          <w:szCs w:val="28"/>
          <w:lang w:val="en-US" w:eastAsia="ru-RU"/>
        </w:rPr>
        <w:t>lnAgriculture</w:t>
      </w:r>
      <w:r w:rsidRPr="00DF774B">
        <w:rPr>
          <w:rFonts w:eastAsia="Times New Roman"/>
          <w:szCs w:val="28"/>
          <w:lang w:val="ru-RU" w:eastAsia="ru-RU"/>
        </w:rPr>
        <w:t>), и показателем выпуска продукции существует сильная корреляция (0,909). Это указывает на прямое влияние кредитов на инвестиционные процессы и объемы производства.</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lastRenderedPageBreak/>
        <w:t>Корреляция с субсидиями (</w:t>
      </w:r>
      <w:r w:rsidRPr="000F1850">
        <w:rPr>
          <w:rFonts w:eastAsia="Times New Roman"/>
          <w:szCs w:val="28"/>
          <w:lang w:val="en-US" w:eastAsia="ru-RU"/>
        </w:rPr>
        <w:t>lnAgriculture</w:t>
      </w:r>
      <w:r w:rsidRPr="00DF774B">
        <w:rPr>
          <w:rFonts w:eastAsia="Times New Roman"/>
          <w:szCs w:val="28"/>
          <w:lang w:val="ru-RU" w:eastAsia="ru-RU"/>
        </w:rPr>
        <w:t>) относительно низкая (0,438). Этот результат указывает на то, что, хотя государственные субсидии и оказывают влияние на сельскохозяйственное производство, их масштабы не так сильны, как масштабы инвестиций и кредитования.</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Процентные ставки (</w:t>
      </w:r>
      <w:r w:rsidRPr="000F1850">
        <w:rPr>
          <w:rFonts w:eastAsia="Times New Roman"/>
          <w:szCs w:val="28"/>
          <w:lang w:val="en-US" w:eastAsia="ru-RU"/>
        </w:rPr>
        <w:t>lnG</w:t>
      </w:r>
      <w:r w:rsidRPr="00DF774B">
        <w:rPr>
          <w:rFonts w:eastAsia="Times New Roman"/>
          <w:szCs w:val="28"/>
          <w:lang w:val="ru-RU" w:eastAsia="ru-RU"/>
        </w:rPr>
        <w:t>) отрицательно коррелируют, коэффициент корреляции составляет –0,340. Это указывает на то, что процентные ставки ниже в периоды высокого уровня сельскохозяйственного производства. Таким образом, стоимость кредитных ресурсов можно рассматривать как один из факторов, стимулирующих сельскохозяйственное производство.</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Результаты корреляционного анализа показывают, что объем сельскохозяйственного производства тесно связан с объемом инвестиций (внутренних и внешних) и кредитов. Субсидии имеют умеренное значение, в то время как процентные ставки оказывают обратное влияние. Этот анализ предполагает, что инвестиции и кредиты могут быть выделены в качестве ключевых факторов в будущих регрессионных моделях.</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bCs/>
          <w:szCs w:val="28"/>
          <w:lang w:val="ru-RU" w:eastAsia="ru-RU"/>
        </w:rPr>
        <w:t xml:space="preserve">Здесь, если мы объясним причины выражения показателей в логарифмах, то, во-первых, это помогает уменьшить изменчивость (дисперсию). </w:t>
      </w:r>
      <w:r w:rsidRPr="00DF774B">
        <w:rPr>
          <w:rFonts w:eastAsia="Times New Roman"/>
          <w:szCs w:val="28"/>
          <w:lang w:val="ru-RU" w:eastAsia="ru-RU"/>
        </w:rPr>
        <w:t xml:space="preserve">Экономические показатели, например, </w:t>
      </w:r>
      <w:r w:rsidRPr="00DF774B">
        <w:rPr>
          <w:rFonts w:eastAsia="Times New Roman"/>
          <w:bCs/>
          <w:szCs w:val="28"/>
          <w:lang w:val="ru-RU" w:eastAsia="ru-RU"/>
        </w:rPr>
        <w:t xml:space="preserve">объем инвестиций, кредитов или валовой продукт, </w:t>
      </w:r>
      <w:r w:rsidRPr="00DF774B">
        <w:rPr>
          <w:rFonts w:eastAsia="Times New Roman"/>
          <w:szCs w:val="28"/>
          <w:lang w:val="ru-RU" w:eastAsia="ru-RU"/>
        </w:rPr>
        <w:t xml:space="preserve">обычно выражаются в больших числах и имеют очень большие изменения из года в год. Это создает проблему </w:t>
      </w:r>
      <w:r w:rsidRPr="00DF774B">
        <w:rPr>
          <w:rFonts w:eastAsia="Times New Roman"/>
          <w:bCs/>
          <w:szCs w:val="28"/>
          <w:lang w:val="ru-RU" w:eastAsia="ru-RU"/>
        </w:rPr>
        <w:t xml:space="preserve">гетероскедастичности . Во-вторых, это помогает анализировать процентные изменения. </w:t>
      </w:r>
      <w:r w:rsidRPr="00DF774B">
        <w:rPr>
          <w:rFonts w:eastAsia="Times New Roman"/>
          <w:szCs w:val="28"/>
          <w:lang w:val="ru-RU" w:eastAsia="ru-RU"/>
        </w:rPr>
        <w:t xml:space="preserve">При работе с простыми значениями результат интерпретируется как «если значение увеличивается на 1 единицу…». Однако в экономике </w:t>
      </w:r>
      <w:r w:rsidRPr="00DF774B">
        <w:rPr>
          <w:rFonts w:eastAsia="Times New Roman"/>
          <w:bCs/>
          <w:szCs w:val="28"/>
          <w:lang w:val="ru-RU" w:eastAsia="ru-RU"/>
        </w:rPr>
        <w:t xml:space="preserve">эффект в процентном выражении </w:t>
      </w:r>
      <w:r w:rsidRPr="00DF774B">
        <w:rPr>
          <w:rFonts w:eastAsia="Times New Roman"/>
          <w:szCs w:val="28"/>
          <w:lang w:val="ru-RU" w:eastAsia="ru-RU"/>
        </w:rPr>
        <w:t>обычно имеет важное значение. В логарифмической модели экономический смысл коэффициентов более ясен: «если независимая переменная увеличивается на 1%, результирующий показатель увеличивается в среднем на %.»</w:t>
      </w:r>
    </w:p>
    <w:tbl>
      <w:tblPr>
        <w:tblW w:w="0" w:type="auto"/>
        <w:tblLook w:val="04A0" w:firstRow="1" w:lastRow="0" w:firstColumn="1" w:lastColumn="0" w:noHBand="0" w:noVBand="1"/>
      </w:tblPr>
      <w:tblGrid>
        <w:gridCol w:w="9354"/>
      </w:tblGrid>
      <w:tr w:rsidR="00B36355" w:rsidRPr="00877CC4" w:rsidTr="0012517D">
        <w:tc>
          <w:tcPr>
            <w:tcW w:w="9345" w:type="dxa"/>
            <w:shd w:val="clear" w:color="auto" w:fill="auto"/>
          </w:tcPr>
          <w:p w:rsidR="00B36355" w:rsidRPr="00877CC4" w:rsidRDefault="00F50397" w:rsidP="0012517D">
            <w:pPr>
              <w:spacing w:after="0" w:line="360" w:lineRule="auto"/>
              <w:jc w:val="center"/>
              <w:rPr>
                <w:szCs w:val="28"/>
                <w:lang w:val="en-US"/>
              </w:rPr>
            </w:pPr>
            <w:r w:rsidRPr="00877CC4">
              <w:rPr>
                <w:noProof/>
                <w:szCs w:val="28"/>
                <w:lang w:val="ru-RU" w:eastAsia="ru-RU"/>
              </w:rPr>
              <w:lastRenderedPageBreak/>
              <w:drawing>
                <wp:inline distT="0" distB="0" distL="0" distR="0">
                  <wp:extent cx="5886450" cy="3657600"/>
                  <wp:effectExtent l="0" t="0" r="0" b="0"/>
                  <wp:docPr id="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86450" cy="3657600"/>
                          </a:xfrm>
                          <a:prstGeom prst="rect">
                            <a:avLst/>
                          </a:prstGeom>
                          <a:noFill/>
                          <a:ln>
                            <a:noFill/>
                          </a:ln>
                        </pic:spPr>
                      </pic:pic>
                    </a:graphicData>
                  </a:graphic>
                </wp:inline>
              </w:drawing>
            </w:r>
          </w:p>
        </w:tc>
      </w:tr>
    </w:tbl>
    <w:p w:rsidR="00B36355" w:rsidRDefault="00B36355" w:rsidP="00D76104">
      <w:pPr>
        <w:spacing w:after="0" w:line="360" w:lineRule="auto"/>
        <w:ind w:firstLine="708"/>
        <w:jc w:val="center"/>
        <w:rPr>
          <w:rFonts w:eastAsia="Times New Roman"/>
          <w:b/>
          <w:iCs/>
          <w:color w:val="000000"/>
          <w:szCs w:val="28"/>
          <w:lang w:val="uz-Cyrl-UZ" w:eastAsia="ru-RU"/>
        </w:rPr>
      </w:pPr>
      <w:r w:rsidRPr="00DF774B">
        <w:rPr>
          <w:rFonts w:eastAsia="Times New Roman"/>
          <w:b/>
          <w:color w:val="242021"/>
          <w:szCs w:val="28"/>
          <w:lang w:val="ru-RU" w:eastAsia="ru-RU"/>
        </w:rPr>
        <w:t xml:space="preserve">Рисунок </w:t>
      </w:r>
      <w:r w:rsidR="0012517D" w:rsidRPr="00462A10">
        <w:rPr>
          <w:rFonts w:eastAsia="Times New Roman"/>
          <w:b/>
          <w:color w:val="242021"/>
          <w:szCs w:val="28"/>
          <w:lang w:eastAsia="ru-RU"/>
        </w:rPr>
        <w:t xml:space="preserve">2.1 </w:t>
      </w:r>
      <w:r w:rsidRPr="00B36355">
        <w:rPr>
          <w:rFonts w:eastAsia="Times New Roman"/>
          <w:b/>
          <w:color w:val="242021"/>
          <w:szCs w:val="28"/>
          <w:lang w:eastAsia="ru-RU"/>
        </w:rPr>
        <w:t xml:space="preserve">. </w:t>
      </w:r>
      <w:r w:rsidRPr="00DF774B">
        <w:rPr>
          <w:rFonts w:eastAsia="Times New Roman"/>
          <w:b/>
          <w:iCs/>
          <w:color w:val="000000"/>
          <w:szCs w:val="28"/>
          <w:lang w:val="ru-RU" w:eastAsia="ru-RU"/>
        </w:rPr>
        <w:t>Пунктирная линия .</w:t>
      </w:r>
      <w:r w:rsidRPr="00B36355">
        <w:rPr>
          <w:rFonts w:eastAsia="Times New Roman"/>
          <w:b/>
          <w:iCs/>
          <w:color w:val="000000"/>
          <w:szCs w:val="28"/>
          <w:lang w:eastAsia="ru-RU"/>
        </w:rPr>
        <w:t xml:space="preserve"> </w:t>
      </w:r>
      <w:r w:rsidRPr="00DF774B">
        <w:rPr>
          <w:rFonts w:eastAsia="Times New Roman"/>
          <w:b/>
          <w:iCs/>
          <w:color w:val="000000"/>
          <w:szCs w:val="28"/>
          <w:lang w:val="ru-RU" w:eastAsia="ru-RU"/>
        </w:rPr>
        <w:t>диаграммы</w:t>
      </w:r>
      <w:r w:rsidRPr="00B36355">
        <w:rPr>
          <w:rFonts w:eastAsia="Times New Roman"/>
          <w:b/>
          <w:iCs/>
          <w:color w:val="000000"/>
          <w:szCs w:val="28"/>
          <w:lang w:eastAsia="ru-RU"/>
        </w:rPr>
        <w:t xml:space="preserve"> </w:t>
      </w:r>
      <w:r w:rsidRPr="00DF774B">
        <w:rPr>
          <w:rFonts w:eastAsia="Times New Roman"/>
          <w:b/>
          <w:iCs/>
          <w:color w:val="000000"/>
          <w:szCs w:val="28"/>
          <w:lang w:val="ru-RU" w:eastAsia="ru-RU"/>
        </w:rPr>
        <w:t xml:space="preserve">матрица </w:t>
      </w:r>
      <w:r>
        <w:rPr>
          <w:rFonts w:eastAsia="Times New Roman"/>
          <w:b/>
          <w:iCs/>
          <w:color w:val="000000"/>
          <w:szCs w:val="28"/>
          <w:lang w:val="uz-Cyrl-UZ" w:eastAsia="ru-RU"/>
        </w:rPr>
        <w:t>i</w:t>
      </w:r>
    </w:p>
    <w:p w:rsidR="00B36355" w:rsidRPr="00B36355" w:rsidRDefault="00B36355" w:rsidP="00B36355">
      <w:pPr>
        <w:spacing w:after="0" w:line="360" w:lineRule="auto"/>
        <w:ind w:firstLine="708"/>
        <w:jc w:val="both"/>
        <w:rPr>
          <w:rFonts w:eastAsia="Times New Roman"/>
          <w:szCs w:val="28"/>
          <w:lang w:val="uz-Cyrl-UZ" w:eastAsia="ru-RU"/>
        </w:rPr>
      </w:pPr>
      <w:r w:rsidRPr="009F6FDC">
        <w:rPr>
          <w:rFonts w:eastAsia="Times New Roman"/>
          <w:szCs w:val="28"/>
          <w:lang w:val="uz-Cyrl-UZ" w:eastAsia="ru-RU"/>
        </w:rPr>
        <w:t>Эта диаграмма рассеяния наглядно демонстрирует взаимосвязь между переменными. Это важный шаг в эконометрическом анализе перед построением модели. Как видно из диаграммы, существует четкая положительная и сильная взаимосвязь между lnAgricultural output и lnNational fixed capital investment. Точки лежат почти линейно, что указывает на высокую корреляцию.</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Также наблюдается явная положительная тенденция в отношении иностранных инвестиций в основной капитал. Восходящая динамика показателей свидетельствует о том, что иностранные капиталовложения оказывают значительное влияние на объемы сельскохозяйственного производства.</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Также наблюдается положительная линейная зависимость между сельскохозяйственными кредитами и индексом выпуска продукции. Это указывает на то, что кредиты являются ключевым фактором стимулирования сельскохозяйственного производства.</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 xml:space="preserve">Взаимосвязь с субсидиями, выделяемыми на сельское хозяйство и управление водными ресурсами, представляется относительно размытой. Этот </w:t>
      </w:r>
      <w:r w:rsidRPr="00DF774B">
        <w:rPr>
          <w:rFonts w:eastAsia="Times New Roman"/>
          <w:szCs w:val="28"/>
          <w:lang w:val="ru-RU" w:eastAsia="ru-RU"/>
        </w:rPr>
        <w:lastRenderedPageBreak/>
        <w:t>результат указывает на то, что, как видно из коэффициентов корреляции, хотя влияние субсидий присутствует, оно слабее, чем влияние инвестиций и кредитов.</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 xml:space="preserve">Зависимость от </w:t>
      </w:r>
      <w:r w:rsidRPr="009F6FDC">
        <w:rPr>
          <w:rFonts w:eastAsia="Times New Roman"/>
          <w:szCs w:val="28"/>
          <w:lang w:val="en-US" w:eastAsia="ru-RU"/>
        </w:rPr>
        <w:t>lnG</w:t>
      </w:r>
      <w:r w:rsidRPr="00DF774B">
        <w:rPr>
          <w:rFonts w:eastAsia="Times New Roman"/>
          <w:szCs w:val="28"/>
          <w:lang w:val="ru-RU" w:eastAsia="ru-RU"/>
        </w:rPr>
        <w:t xml:space="preserve"> (процентной ставки) отрицательная. Точки смещены вниз, и по мере повышения процентных ставок сельскохозяйственное производство снижается. Эта обратная зависимость указывает на то, что стоимость кредитных ресурсов является важным ограничивающим фактором в сельском хозяйстве. Эти визуальные наблюдения обеспечивают прочную основу для выбора факторов в регрессионной модели и оценки их эластичного влияния.</w:t>
      </w:r>
    </w:p>
    <w:p w:rsidR="00B36355" w:rsidRPr="00DF774B" w:rsidRDefault="00B36355" w:rsidP="00B36355">
      <w:pPr>
        <w:spacing w:after="0" w:line="360" w:lineRule="auto"/>
        <w:ind w:firstLine="708"/>
        <w:jc w:val="both"/>
        <w:rPr>
          <w:rFonts w:eastAsia="Times New Roman"/>
          <w:iCs/>
          <w:color w:val="000000"/>
          <w:szCs w:val="28"/>
          <w:lang w:val="ru-RU" w:eastAsia="ru-RU"/>
        </w:rPr>
      </w:pPr>
      <w:r w:rsidRPr="00DF774B">
        <w:rPr>
          <w:rFonts w:eastAsia="Times New Roman"/>
          <w:szCs w:val="28"/>
          <w:lang w:val="ru-RU" w:eastAsia="ru-RU"/>
        </w:rPr>
        <w:t xml:space="preserve">Следующее предположение заключается </w:t>
      </w:r>
      <w:r w:rsidRPr="00DF774B">
        <w:rPr>
          <w:rFonts w:eastAsia="Times New Roman"/>
          <w:iCs/>
          <w:color w:val="000000"/>
          <w:szCs w:val="28"/>
          <w:lang w:val="ru-RU" w:eastAsia="ru-RU"/>
        </w:rPr>
        <w:t>в том, что остатки должны иметь нормальное распределение.</w:t>
      </w:r>
    </w:p>
    <w:p w:rsidR="00B36355" w:rsidRPr="00DF774B" w:rsidRDefault="0012517D" w:rsidP="00B36355">
      <w:pPr>
        <w:spacing w:after="0" w:line="360" w:lineRule="auto"/>
        <w:ind w:firstLine="708"/>
        <w:jc w:val="right"/>
        <w:rPr>
          <w:rFonts w:eastAsia="Times New Roman"/>
          <w:b/>
          <w:szCs w:val="28"/>
          <w:lang w:val="ru-RU" w:eastAsia="ru-RU"/>
        </w:rPr>
      </w:pPr>
      <w:r w:rsidRPr="00DF774B">
        <w:rPr>
          <w:rFonts w:eastAsia="Times New Roman"/>
          <w:b/>
          <w:szCs w:val="28"/>
          <w:lang w:val="ru-RU" w:eastAsia="ru-RU"/>
        </w:rPr>
        <w:t>Таблица 2.4</w:t>
      </w:r>
    </w:p>
    <w:p w:rsidR="00B36355" w:rsidRPr="00DF774B" w:rsidRDefault="00B36355" w:rsidP="00B36355">
      <w:pPr>
        <w:spacing w:after="0" w:line="360" w:lineRule="auto"/>
        <w:ind w:firstLine="708"/>
        <w:jc w:val="center"/>
        <w:rPr>
          <w:rFonts w:eastAsia="Times New Roman"/>
          <w:b/>
          <w:szCs w:val="28"/>
          <w:lang w:val="ru-RU" w:eastAsia="ru-RU"/>
        </w:rPr>
      </w:pPr>
      <w:r w:rsidRPr="00DF774B">
        <w:rPr>
          <w:rFonts w:eastAsia="Times New Roman"/>
          <w:b/>
          <w:szCs w:val="28"/>
          <w:lang w:val="ru-RU" w:eastAsia="ru-RU"/>
        </w:rPr>
        <w:t>тест на нормальное распределение остатков</w:t>
      </w:r>
    </w:p>
    <w:tbl>
      <w:tblPr>
        <w:tblW w:w="9245" w:type="dxa"/>
        <w:tblLayout w:type="fixed"/>
        <w:tblLook w:val="0000" w:firstRow="0" w:lastRow="0" w:firstColumn="0" w:lastColumn="0" w:noHBand="0" w:noVBand="0"/>
      </w:tblPr>
      <w:tblGrid>
        <w:gridCol w:w="993"/>
        <w:gridCol w:w="708"/>
        <w:gridCol w:w="851"/>
        <w:gridCol w:w="850"/>
        <w:gridCol w:w="1000"/>
        <w:gridCol w:w="1000"/>
        <w:gridCol w:w="835"/>
        <w:gridCol w:w="1000"/>
        <w:gridCol w:w="1000"/>
        <w:gridCol w:w="1008"/>
      </w:tblGrid>
      <w:tr w:rsidR="00B36355" w:rsidRPr="00877CC4" w:rsidTr="0012517D">
        <w:tc>
          <w:tcPr>
            <w:tcW w:w="993"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Переменные</w:t>
            </w:r>
          </w:p>
        </w:tc>
        <w:tc>
          <w:tcPr>
            <w:tcW w:w="708"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Наблюдение.</w:t>
            </w:r>
          </w:p>
        </w:tc>
        <w:tc>
          <w:tcPr>
            <w:tcW w:w="851"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Иметь в виду</w:t>
            </w:r>
          </w:p>
        </w:tc>
        <w:tc>
          <w:tcPr>
            <w:tcW w:w="850"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Стандартное отклонение</w:t>
            </w:r>
          </w:p>
        </w:tc>
        <w:tc>
          <w:tcPr>
            <w:tcW w:w="1000"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Мин</w:t>
            </w:r>
          </w:p>
        </w:tc>
        <w:tc>
          <w:tcPr>
            <w:tcW w:w="1000"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Макс</w:t>
            </w:r>
          </w:p>
        </w:tc>
        <w:tc>
          <w:tcPr>
            <w:tcW w:w="835"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п1</w:t>
            </w:r>
          </w:p>
        </w:tc>
        <w:tc>
          <w:tcPr>
            <w:tcW w:w="1000"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стр. 99</w:t>
            </w:r>
          </w:p>
        </w:tc>
        <w:tc>
          <w:tcPr>
            <w:tcW w:w="1000"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Искривление.</w:t>
            </w:r>
          </w:p>
        </w:tc>
        <w:tc>
          <w:tcPr>
            <w:tcW w:w="1008" w:type="dxa"/>
            <w:tcBorders>
              <w:top w:val="single" w:sz="4" w:space="0" w:color="auto"/>
              <w:left w:val="nil"/>
              <w:bottom w:val="single" w:sz="10"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Волк.</w:t>
            </w:r>
          </w:p>
        </w:tc>
      </w:tr>
      <w:tr w:rsidR="00B36355" w:rsidRPr="00877CC4" w:rsidTr="0012517D">
        <w:tc>
          <w:tcPr>
            <w:tcW w:w="993"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рез</w:t>
            </w:r>
          </w:p>
        </w:tc>
        <w:tc>
          <w:tcPr>
            <w:tcW w:w="70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15</w:t>
            </w:r>
          </w:p>
        </w:tc>
        <w:tc>
          <w:tcPr>
            <w:tcW w:w="851"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w:t>
            </w:r>
          </w:p>
        </w:tc>
        <w:tc>
          <w:tcPr>
            <w:tcW w:w="85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.098</w:t>
            </w:r>
          </w:p>
        </w:tc>
        <w:tc>
          <w:tcPr>
            <w:tcW w:w="10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-.255</w:t>
            </w:r>
          </w:p>
        </w:tc>
        <w:tc>
          <w:tcPr>
            <w:tcW w:w="10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.164</w:t>
            </w:r>
          </w:p>
        </w:tc>
        <w:tc>
          <w:tcPr>
            <w:tcW w:w="835"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-.255</w:t>
            </w:r>
          </w:p>
        </w:tc>
        <w:tc>
          <w:tcPr>
            <w:tcW w:w="10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.164</w:t>
            </w:r>
          </w:p>
        </w:tc>
        <w:tc>
          <w:tcPr>
            <w:tcW w:w="10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-.924</w:t>
            </w:r>
          </w:p>
        </w:tc>
        <w:tc>
          <w:tcPr>
            <w:tcW w:w="1008"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4.29</w:t>
            </w:r>
          </w:p>
        </w:tc>
      </w:tr>
      <w:tr w:rsidR="00B36355" w:rsidRPr="00877CC4" w:rsidTr="0012517D">
        <w:tc>
          <w:tcPr>
            <w:tcW w:w="9245" w:type="dxa"/>
            <w:gridSpan w:val="10"/>
            <w:tcBorders>
              <w:top w:val="single" w:sz="6" w:space="0" w:color="auto"/>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p>
        </w:tc>
      </w:tr>
    </w:tbl>
    <w:p w:rsidR="00B36355" w:rsidRPr="00DF774B" w:rsidRDefault="00B36355" w:rsidP="00B36355">
      <w:pPr>
        <w:spacing w:after="0" w:line="360" w:lineRule="auto"/>
        <w:ind w:firstLine="708"/>
        <w:jc w:val="both"/>
        <w:rPr>
          <w:rFonts w:eastAsia="Times New Roman"/>
          <w:color w:val="000000"/>
          <w:szCs w:val="28"/>
          <w:lang w:val="ru-RU" w:eastAsia="ru-RU"/>
        </w:rPr>
      </w:pPr>
      <w:r w:rsidRPr="00DF774B">
        <w:rPr>
          <w:rFonts w:eastAsia="Times New Roman"/>
          <w:color w:val="000000"/>
          <w:szCs w:val="28"/>
          <w:lang w:val="ru-RU" w:eastAsia="ru-RU"/>
        </w:rPr>
        <w:t>Выше</w:t>
      </w:r>
      <w:r w:rsidRPr="00B36355">
        <w:rPr>
          <w:rFonts w:eastAsia="Times New Roman"/>
          <w:color w:val="000000"/>
          <w:szCs w:val="28"/>
          <w:lang w:eastAsia="ru-RU"/>
        </w:rPr>
        <w:t xml:space="preserve"> </w:t>
      </w:r>
      <w:r w:rsidRPr="00DF774B">
        <w:rPr>
          <w:rFonts w:eastAsia="Times New Roman"/>
          <w:color w:val="000000"/>
          <w:szCs w:val="28"/>
          <w:lang w:val="ru-RU" w:eastAsia="ru-RU"/>
        </w:rPr>
        <w:t>со стола</w:t>
      </w:r>
      <w:r w:rsidRPr="00B36355">
        <w:rPr>
          <w:rFonts w:eastAsia="Times New Roman"/>
          <w:color w:val="000000"/>
          <w:szCs w:val="28"/>
          <w:lang w:eastAsia="ru-RU"/>
        </w:rPr>
        <w:t xml:space="preserve"> </w:t>
      </w:r>
      <w:r w:rsidRPr="00DF774B">
        <w:rPr>
          <w:rFonts w:eastAsia="Times New Roman"/>
          <w:color w:val="000000"/>
          <w:szCs w:val="28"/>
          <w:lang w:val="ru-RU" w:eastAsia="ru-RU"/>
        </w:rPr>
        <w:t>этот</w:t>
      </w:r>
      <w:r w:rsidRPr="00B36355">
        <w:rPr>
          <w:rFonts w:eastAsia="Times New Roman"/>
          <w:color w:val="000000"/>
          <w:szCs w:val="28"/>
          <w:lang w:eastAsia="ru-RU"/>
        </w:rPr>
        <w:t xml:space="preserve"> </w:t>
      </w:r>
      <w:r w:rsidRPr="00DF774B">
        <w:rPr>
          <w:rFonts w:eastAsia="Times New Roman"/>
          <w:color w:val="000000"/>
          <w:szCs w:val="28"/>
          <w:lang w:val="ru-RU" w:eastAsia="ru-RU"/>
        </w:rPr>
        <w:t>см.</w:t>
      </w:r>
      <w:r w:rsidRPr="00B36355">
        <w:rPr>
          <w:rFonts w:eastAsia="Times New Roman"/>
          <w:color w:val="000000"/>
          <w:szCs w:val="28"/>
          <w:lang w:eastAsia="ru-RU"/>
        </w:rPr>
        <w:t xml:space="preserve"> </w:t>
      </w:r>
      <w:r w:rsidRPr="00DF774B">
        <w:rPr>
          <w:rFonts w:eastAsia="Times New Roman"/>
          <w:color w:val="000000"/>
          <w:szCs w:val="28"/>
          <w:lang w:val="ru-RU" w:eastAsia="ru-RU"/>
        </w:rPr>
        <w:t xml:space="preserve">возможно, </w:t>
      </w:r>
      <w:r w:rsidRPr="00B36355">
        <w:rPr>
          <w:rFonts w:eastAsia="Times New Roman"/>
          <w:color w:val="000000"/>
          <w:szCs w:val="28"/>
          <w:lang w:eastAsia="ru-RU"/>
        </w:rPr>
        <w:t xml:space="preserve">очень </w:t>
      </w:r>
      <w:r w:rsidRPr="00DF774B">
        <w:rPr>
          <w:rFonts w:eastAsia="Times New Roman"/>
          <w:color w:val="000000"/>
          <w:szCs w:val="28"/>
          <w:lang w:val="ru-RU" w:eastAsia="ru-RU"/>
        </w:rPr>
        <w:t>много</w:t>
      </w:r>
      <w:r w:rsidRPr="00B36355">
        <w:rPr>
          <w:rFonts w:eastAsia="Times New Roman"/>
          <w:color w:val="000000"/>
          <w:szCs w:val="28"/>
          <w:lang w:eastAsia="ru-RU"/>
        </w:rPr>
        <w:t xml:space="preserve"> </w:t>
      </w:r>
      <w:r w:rsidRPr="00DF774B">
        <w:rPr>
          <w:rFonts w:eastAsia="Times New Roman"/>
          <w:color w:val="000000"/>
          <w:szCs w:val="28"/>
          <w:lang w:val="ru-RU" w:eastAsia="ru-RU"/>
        </w:rPr>
        <w:t>факториал</w:t>
      </w:r>
      <w:r w:rsidRPr="00B36355">
        <w:rPr>
          <w:rFonts w:eastAsia="Times New Roman"/>
          <w:color w:val="000000"/>
          <w:szCs w:val="28"/>
          <w:lang w:eastAsia="ru-RU"/>
        </w:rPr>
        <w:t xml:space="preserve"> </w:t>
      </w:r>
      <w:r>
        <w:rPr>
          <w:rFonts w:eastAsia="Times New Roman"/>
          <w:color w:val="000000"/>
          <w:szCs w:val="28"/>
          <w:lang w:val="uz-Cyrl-UZ" w:eastAsia="ru-RU"/>
        </w:rPr>
        <w:t>конометрический</w:t>
      </w:r>
      <w:r w:rsidRPr="00DF774B">
        <w:rPr>
          <w:rFonts w:eastAsia="Times New Roman"/>
          <w:color w:val="000000"/>
          <w:szCs w:val="28"/>
          <w:lang w:val="ru-RU" w:eastAsia="ru-RU"/>
        </w:rPr>
        <w:t>​</w:t>
      </w:r>
      <w:r w:rsidRPr="00B36355">
        <w:rPr>
          <w:rFonts w:eastAsia="Times New Roman"/>
          <w:color w:val="000000"/>
          <w:szCs w:val="28"/>
          <w:lang w:eastAsia="ru-RU"/>
        </w:rPr>
        <w:t xml:space="preserve"> </w:t>
      </w:r>
      <w:r w:rsidRPr="00DF774B">
        <w:rPr>
          <w:rFonts w:eastAsia="Times New Roman"/>
          <w:color w:val="000000"/>
          <w:szCs w:val="28"/>
          <w:lang w:val="ru-RU" w:eastAsia="ru-RU"/>
        </w:rPr>
        <w:t>к модели</w:t>
      </w:r>
      <w:r w:rsidRPr="00B36355">
        <w:rPr>
          <w:rFonts w:eastAsia="Times New Roman"/>
          <w:color w:val="000000"/>
          <w:szCs w:val="28"/>
          <w:lang w:eastAsia="ru-RU"/>
        </w:rPr>
        <w:t xml:space="preserve"> </w:t>
      </w:r>
      <w:r w:rsidRPr="00DF774B">
        <w:rPr>
          <w:rFonts w:eastAsia="Times New Roman"/>
          <w:color w:val="000000"/>
          <w:szCs w:val="28"/>
          <w:lang w:val="ru-RU" w:eastAsia="ru-RU"/>
        </w:rPr>
        <w:t>включено</w:t>
      </w:r>
      <w:r w:rsidRPr="00B36355">
        <w:rPr>
          <w:rFonts w:eastAsia="Times New Roman"/>
          <w:color w:val="000000"/>
          <w:szCs w:val="28"/>
          <w:lang w:eastAsia="ru-RU"/>
        </w:rPr>
        <w:t xml:space="preserve"> </w:t>
      </w:r>
      <w:r w:rsidRPr="00DF774B">
        <w:rPr>
          <w:rFonts w:eastAsia="Times New Roman"/>
          <w:color w:val="000000"/>
          <w:szCs w:val="28"/>
          <w:lang w:val="ru-RU" w:eastAsia="ru-RU"/>
        </w:rPr>
        <w:t>факторы</w:t>
      </w:r>
      <w:r w:rsidRPr="00B36355">
        <w:rPr>
          <w:rFonts w:eastAsia="Times New Roman"/>
          <w:color w:val="000000"/>
          <w:szCs w:val="28"/>
          <w:lang w:eastAsia="ru-RU"/>
        </w:rPr>
        <w:t xml:space="preserve"> </w:t>
      </w:r>
      <w:r w:rsidRPr="00DF774B">
        <w:rPr>
          <w:rFonts w:eastAsia="Times New Roman"/>
          <w:color w:val="000000"/>
          <w:szCs w:val="28"/>
          <w:lang w:val="ru-RU" w:eastAsia="ru-RU"/>
        </w:rPr>
        <w:t>нормальный</w:t>
      </w:r>
      <w:r w:rsidRPr="00B36355">
        <w:rPr>
          <w:rFonts w:eastAsia="Times New Roman"/>
          <w:color w:val="000000"/>
          <w:szCs w:val="28"/>
          <w:lang w:eastAsia="ru-RU"/>
        </w:rPr>
        <w:t xml:space="preserve"> </w:t>
      </w:r>
      <w:r w:rsidRPr="00DF774B">
        <w:rPr>
          <w:rFonts w:eastAsia="Times New Roman"/>
          <w:color w:val="000000"/>
          <w:szCs w:val="28"/>
          <w:lang w:val="ru-RU" w:eastAsia="ru-RU"/>
        </w:rPr>
        <w:t>распределение</w:t>
      </w:r>
      <w:r w:rsidRPr="00B36355">
        <w:rPr>
          <w:rFonts w:eastAsia="Times New Roman"/>
          <w:color w:val="000000"/>
          <w:szCs w:val="28"/>
          <w:lang w:eastAsia="ru-RU"/>
        </w:rPr>
        <w:t xml:space="preserve"> </w:t>
      </w:r>
      <w:r w:rsidRPr="00DF774B">
        <w:rPr>
          <w:rFonts w:eastAsia="Times New Roman"/>
          <w:color w:val="000000"/>
          <w:szCs w:val="28"/>
          <w:lang w:val="ru-RU" w:eastAsia="ru-RU"/>
        </w:rPr>
        <w:t>к закону</w:t>
      </w:r>
      <w:r w:rsidRPr="00B36355">
        <w:rPr>
          <w:rFonts w:eastAsia="Times New Roman"/>
          <w:color w:val="000000"/>
          <w:szCs w:val="28"/>
          <w:lang w:eastAsia="ru-RU"/>
        </w:rPr>
        <w:t xml:space="preserve"> </w:t>
      </w:r>
      <w:r w:rsidRPr="00DF774B">
        <w:rPr>
          <w:rFonts w:eastAsia="Times New Roman"/>
          <w:color w:val="000000"/>
          <w:szCs w:val="28"/>
          <w:lang w:val="ru-RU" w:eastAsia="ru-RU"/>
        </w:rPr>
        <w:t>подчиняться</w:t>
      </w:r>
      <w:r w:rsidRPr="00B36355">
        <w:rPr>
          <w:rFonts w:eastAsia="Times New Roman"/>
          <w:color w:val="000000"/>
          <w:szCs w:val="28"/>
          <w:lang w:eastAsia="ru-RU"/>
        </w:rPr>
        <w:t xml:space="preserve"> </w:t>
      </w:r>
      <w:r>
        <w:rPr>
          <w:rFonts w:eastAsia="Times New Roman"/>
          <w:color w:val="000000"/>
          <w:szCs w:val="28"/>
          <w:lang w:val="uz-Cyrl-UZ" w:eastAsia="ru-RU"/>
        </w:rPr>
        <w:t xml:space="preserve">асимметрия </w:t>
      </w:r>
      <w:r w:rsidRPr="00B36355">
        <w:rPr>
          <w:rFonts w:eastAsia="Times New Roman"/>
          <w:color w:val="000000"/>
          <w:szCs w:val="28"/>
          <w:lang w:eastAsia="ru-RU"/>
        </w:rPr>
        <w:t xml:space="preserve">— это коэффициент асимметрии, чем ближе он к нулю, тем вероятнее, </w:t>
      </w:r>
      <w:r w:rsidRPr="00DF774B">
        <w:rPr>
          <w:rFonts w:eastAsia="Times New Roman"/>
          <w:color w:val="000000"/>
          <w:szCs w:val="28"/>
          <w:lang w:val="ru-RU" w:eastAsia="ru-RU"/>
        </w:rPr>
        <w:t xml:space="preserve">что </w:t>
      </w:r>
      <w:r w:rsidRPr="000670C7">
        <w:rPr>
          <w:rFonts w:eastAsia="Times New Roman"/>
          <w:color w:val="000000"/>
          <w:szCs w:val="28"/>
          <w:lang w:eastAsia="ru-RU"/>
        </w:rPr>
        <w:t xml:space="preserve">переменная имеет нормальное распределение. </w:t>
      </w:r>
      <w:r w:rsidRPr="00DF774B">
        <w:rPr>
          <w:rFonts w:eastAsia="Times New Roman"/>
          <w:color w:val="000000"/>
          <w:szCs w:val="28"/>
          <w:lang w:val="ru-RU" w:eastAsia="ru-RU"/>
        </w:rPr>
        <w:t xml:space="preserve">Если этот коэффициент значительно отличается от 0, то распределение считается асимметричным (т.е. симметричным </w:t>
      </w:r>
      <w:r>
        <w:rPr>
          <w:rFonts w:eastAsia="Times New Roman"/>
          <w:color w:val="000000"/>
          <w:szCs w:val="28"/>
          <w:lang w:val="uz-Cyrl-UZ" w:eastAsia="ru-RU"/>
        </w:rPr>
        <w:t xml:space="preserve">) . Если коэффициент асимметрии больше 0, то есть положительный, то </w:t>
      </w:r>
      <w:r w:rsidRPr="00DF774B">
        <w:rPr>
          <w:rFonts w:eastAsia="Times New Roman"/>
          <w:color w:val="000000"/>
          <w:szCs w:val="28"/>
          <w:lang w:val="ru-RU" w:eastAsia="ru-RU"/>
        </w:rPr>
        <w:t xml:space="preserve">график нормального распределения для изучаемого фактора сдвигается вправо. Если он меньше 0, то есть отрицательный, то график нормального распределения для изучаемого фактора сдвигается влево. Идеальное значение коэффициента эксцесса (высоты или плоскости нормального распределения) равно 3. Если эксцесс &gt; 3, то распределение является лептокуртическим (распределения увеличивают финансовые риски), то есть экстремальных значений больше. Если эксцесс &lt; </w:t>
      </w:r>
      <w:r w:rsidRPr="00DF774B">
        <w:rPr>
          <w:rFonts w:eastAsia="Times New Roman"/>
          <w:color w:val="000000"/>
          <w:szCs w:val="28"/>
          <w:lang w:val="ru-RU" w:eastAsia="ru-RU"/>
        </w:rPr>
        <w:lastRenderedPageBreak/>
        <w:t>3, то распределение является платикуртическим, то есть плоским, то есть экстремальных значений меньше.</w:t>
      </w:r>
    </w:p>
    <w:p w:rsidR="00B36355" w:rsidRPr="00DF774B" w:rsidRDefault="00B36355" w:rsidP="00B36355">
      <w:pPr>
        <w:spacing w:after="0" w:line="360" w:lineRule="auto"/>
        <w:ind w:firstLine="708"/>
        <w:jc w:val="both"/>
        <w:rPr>
          <w:rFonts w:eastAsia="Times New Roman"/>
          <w:color w:val="000000"/>
          <w:szCs w:val="28"/>
          <w:lang w:val="ru-RU" w:eastAsia="ru-RU"/>
        </w:rPr>
      </w:pPr>
      <w:r w:rsidRPr="00DF774B">
        <w:rPr>
          <w:rFonts w:eastAsia="Times New Roman"/>
          <w:color w:val="000000"/>
          <w:szCs w:val="28"/>
          <w:lang w:val="ru-RU" w:eastAsia="ru-RU"/>
        </w:rPr>
        <w:t xml:space="preserve">Статистические данные показывают, что в данном случае асимметрия составляет около -0,924, а эксцесс — около 4,29 </w:t>
      </w:r>
      <w:r>
        <w:rPr>
          <w:rFonts w:eastAsia="Times New Roman"/>
          <w:color w:val="000000"/>
          <w:szCs w:val="28"/>
          <w:lang w:val="uz-Cyrl-UZ" w:eastAsia="ru-RU"/>
        </w:rPr>
        <w:t xml:space="preserve">. </w:t>
      </w:r>
      <w:r w:rsidRPr="00DF774B">
        <w:rPr>
          <w:rFonts w:eastAsia="Times New Roman"/>
          <w:color w:val="000000"/>
          <w:szCs w:val="28"/>
          <w:lang w:val="ru-RU" w:eastAsia="ru-RU"/>
        </w:rPr>
        <w:t>Остатки модели в среднем близки к нулю, что является хорошим признаком. Однако распределение слегка смещено влево, и присутствуют некоторые резкие выбросы. Это означает, что некоторые наблюдения в модели могли оказать сильное влияние. Статистически это , вероятно, указывает на гетероскедастичность, или отклонение от нормального распределения.</w:t>
      </w:r>
    </w:p>
    <w:p w:rsidR="00B36355" w:rsidRPr="00DF774B" w:rsidRDefault="00B36355" w:rsidP="00B36355">
      <w:pPr>
        <w:spacing w:after="0" w:line="360" w:lineRule="auto"/>
        <w:ind w:firstLine="708"/>
        <w:jc w:val="both"/>
        <w:rPr>
          <w:rFonts w:eastAsia="Times New Roman"/>
          <w:color w:val="000000"/>
          <w:szCs w:val="28"/>
          <w:lang w:val="ru-RU" w:eastAsia="ru-RU"/>
        </w:rPr>
      </w:pPr>
      <w:r w:rsidRPr="00DF774B">
        <w:rPr>
          <w:rFonts w:eastAsia="Times New Roman"/>
          <w:color w:val="000000"/>
          <w:szCs w:val="28"/>
          <w:lang w:val="ru-RU" w:eastAsia="ru-RU"/>
        </w:rPr>
        <w:t>Эти результаты показывают, что остатки модели близки к нормальному распределению, но не являются полностью идеальными. Поскольку имеется 15 наблюдений (</w:t>
      </w:r>
      <w:r w:rsidRPr="00283242">
        <w:rPr>
          <w:rFonts w:eastAsia="Times New Roman"/>
          <w:color w:val="000000"/>
          <w:szCs w:val="28"/>
          <w:lang w:val="en-US" w:eastAsia="ru-RU"/>
        </w:rPr>
        <w:t>Obs</w:t>
      </w:r>
      <w:r w:rsidRPr="00DF774B">
        <w:rPr>
          <w:rFonts w:eastAsia="Times New Roman"/>
          <w:color w:val="000000"/>
          <w:szCs w:val="28"/>
          <w:lang w:val="ru-RU" w:eastAsia="ru-RU"/>
        </w:rPr>
        <w:t xml:space="preserve"> = 15), статистическая мощность не очень высока, но в целом условия МНК не нарушаются. Однако результаты становятся более точными при увеличении числа выборок.</w:t>
      </w:r>
    </w:p>
    <w:tbl>
      <w:tblPr>
        <w:tblW w:w="0" w:type="auto"/>
        <w:tblLayout w:type="fixed"/>
        <w:tblLook w:val="04A0" w:firstRow="1" w:lastRow="0" w:firstColumn="1" w:lastColumn="0" w:noHBand="0" w:noVBand="1"/>
      </w:tblPr>
      <w:tblGrid>
        <w:gridCol w:w="4673"/>
        <w:gridCol w:w="4672"/>
      </w:tblGrid>
      <w:tr w:rsidR="00B36355" w:rsidRPr="00877CC4" w:rsidTr="00877CC4">
        <w:trPr>
          <w:trHeight w:val="1125"/>
        </w:trPr>
        <w:tc>
          <w:tcPr>
            <w:tcW w:w="9345" w:type="dxa"/>
            <w:gridSpan w:val="2"/>
            <w:shd w:val="clear" w:color="auto" w:fill="auto"/>
          </w:tcPr>
          <w:p w:rsidR="00B36355" w:rsidRPr="00877CC4" w:rsidRDefault="00F50397" w:rsidP="00877CC4">
            <w:pPr>
              <w:spacing w:after="0"/>
              <w:jc w:val="center"/>
              <w:rPr>
                <w:noProof/>
                <w:kern w:val="0"/>
                <w:szCs w:val="28"/>
                <w:lang w:eastAsia="ru-RU"/>
              </w:rPr>
            </w:pPr>
            <w:r w:rsidRPr="00877CC4">
              <w:rPr>
                <w:noProof/>
                <w:kern w:val="0"/>
                <w:szCs w:val="28"/>
                <w:lang w:val="ru-RU" w:eastAsia="ru-RU"/>
              </w:rPr>
              <w:drawing>
                <wp:inline distT="0" distB="0" distL="0" distR="0">
                  <wp:extent cx="5676900" cy="2495550"/>
                  <wp:effectExtent l="0" t="0" r="0" b="0"/>
                  <wp:docPr id="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76900" cy="2495550"/>
                          </a:xfrm>
                          <a:prstGeom prst="rect">
                            <a:avLst/>
                          </a:prstGeom>
                          <a:noFill/>
                          <a:ln>
                            <a:noFill/>
                          </a:ln>
                        </pic:spPr>
                      </pic:pic>
                    </a:graphicData>
                  </a:graphic>
                </wp:inline>
              </w:drawing>
            </w:r>
          </w:p>
        </w:tc>
      </w:tr>
      <w:tr w:rsidR="00B36355" w:rsidRPr="00877CC4" w:rsidTr="00877CC4">
        <w:trPr>
          <w:trHeight w:val="3611"/>
        </w:trPr>
        <w:tc>
          <w:tcPr>
            <w:tcW w:w="4673" w:type="dxa"/>
            <w:shd w:val="clear" w:color="auto" w:fill="auto"/>
          </w:tcPr>
          <w:p w:rsidR="00B36355" w:rsidRPr="00877CC4" w:rsidRDefault="00F50397" w:rsidP="00877CC4">
            <w:pPr>
              <w:spacing w:after="0"/>
              <w:jc w:val="center"/>
              <w:rPr>
                <w:noProof/>
                <w:kern w:val="0"/>
                <w:szCs w:val="28"/>
                <w:lang w:eastAsia="ru-RU"/>
              </w:rPr>
            </w:pPr>
            <w:r w:rsidRPr="00877CC4">
              <w:rPr>
                <w:noProof/>
                <w:kern w:val="0"/>
                <w:szCs w:val="28"/>
                <w:lang w:val="ru-RU" w:eastAsia="ru-RU"/>
              </w:rPr>
              <w:drawing>
                <wp:inline distT="0" distB="0" distL="0" distR="0">
                  <wp:extent cx="2914650" cy="1771650"/>
                  <wp:effectExtent l="0" t="0" r="0" b="0"/>
                  <wp:docPr id="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14650" cy="1771650"/>
                          </a:xfrm>
                          <a:prstGeom prst="rect">
                            <a:avLst/>
                          </a:prstGeom>
                          <a:noFill/>
                          <a:ln>
                            <a:noFill/>
                          </a:ln>
                        </pic:spPr>
                      </pic:pic>
                    </a:graphicData>
                  </a:graphic>
                </wp:inline>
              </w:drawing>
            </w:r>
          </w:p>
        </w:tc>
        <w:tc>
          <w:tcPr>
            <w:tcW w:w="4672" w:type="dxa"/>
            <w:shd w:val="clear" w:color="auto" w:fill="auto"/>
          </w:tcPr>
          <w:p w:rsidR="00B36355" w:rsidRPr="00877CC4" w:rsidRDefault="00F50397" w:rsidP="00877CC4">
            <w:pPr>
              <w:spacing w:after="0"/>
              <w:ind w:firstLine="183"/>
              <w:jc w:val="center"/>
              <w:rPr>
                <w:noProof/>
                <w:kern w:val="0"/>
                <w:szCs w:val="28"/>
                <w:lang w:eastAsia="ru-RU"/>
              </w:rPr>
            </w:pPr>
            <w:r w:rsidRPr="00877CC4">
              <w:rPr>
                <w:noProof/>
                <w:kern w:val="0"/>
                <w:szCs w:val="28"/>
                <w:lang w:val="ru-RU" w:eastAsia="ru-RU"/>
              </w:rPr>
              <w:drawing>
                <wp:inline distT="0" distB="0" distL="0" distR="0">
                  <wp:extent cx="2857500" cy="1771650"/>
                  <wp:effectExtent l="0" t="0" r="0" b="0"/>
                  <wp:docPr id="8"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7500" cy="1771650"/>
                          </a:xfrm>
                          <a:prstGeom prst="rect">
                            <a:avLst/>
                          </a:prstGeom>
                          <a:noFill/>
                          <a:ln>
                            <a:noFill/>
                          </a:ln>
                        </pic:spPr>
                      </pic:pic>
                    </a:graphicData>
                  </a:graphic>
                </wp:inline>
              </w:drawing>
            </w:r>
          </w:p>
        </w:tc>
      </w:tr>
    </w:tbl>
    <w:p w:rsidR="00B36355" w:rsidRPr="00DF774B" w:rsidRDefault="0012517D" w:rsidP="00B36355">
      <w:pPr>
        <w:spacing w:after="0" w:line="360" w:lineRule="auto"/>
        <w:jc w:val="center"/>
        <w:rPr>
          <w:rFonts w:eastAsia="Times New Roman"/>
          <w:b/>
          <w:color w:val="000000"/>
          <w:szCs w:val="28"/>
          <w:lang w:val="ru-RU" w:eastAsia="ru-RU"/>
        </w:rPr>
      </w:pPr>
      <w:r w:rsidRPr="00DF774B">
        <w:rPr>
          <w:rFonts w:eastAsia="Times New Roman"/>
          <w:b/>
          <w:color w:val="000000"/>
          <w:szCs w:val="28"/>
          <w:lang w:val="ru-RU" w:eastAsia="ru-RU"/>
        </w:rPr>
        <w:lastRenderedPageBreak/>
        <w:t>Рисунок 2.2. График функций нормального распределения остатков.</w:t>
      </w:r>
    </w:p>
    <w:p w:rsidR="00B36355" w:rsidRPr="00DF774B" w:rsidRDefault="00B36355" w:rsidP="00B36355">
      <w:pPr>
        <w:spacing w:after="0" w:line="360" w:lineRule="auto"/>
        <w:ind w:firstLine="708"/>
        <w:jc w:val="both"/>
        <w:rPr>
          <w:color w:val="000000"/>
          <w:szCs w:val="28"/>
          <w:lang w:val="ru-RU"/>
        </w:rPr>
      </w:pPr>
      <w:r w:rsidRPr="00DF774B">
        <w:rPr>
          <w:color w:val="000000"/>
          <w:szCs w:val="28"/>
          <w:lang w:val="ru-RU"/>
        </w:rPr>
        <w:t>Эмпирическая линия (синяя) и теоретическая нормальная линия (красная) на графике очень близки в центре. Это означает, что остатки очень близки к нормальному распределению вокруг средних значений.</w:t>
      </w:r>
    </w:p>
    <w:p w:rsidR="00B36355" w:rsidRPr="00DF774B" w:rsidRDefault="00B36355" w:rsidP="00B36355">
      <w:pPr>
        <w:tabs>
          <w:tab w:val="left" w:pos="7200"/>
        </w:tabs>
        <w:spacing w:after="0" w:line="360" w:lineRule="auto"/>
        <w:ind w:firstLine="708"/>
        <w:jc w:val="both"/>
        <w:rPr>
          <w:color w:val="000000"/>
          <w:szCs w:val="28"/>
          <w:lang w:val="ru-RU"/>
        </w:rPr>
      </w:pPr>
      <w:r w:rsidRPr="00DF774B">
        <w:rPr>
          <w:color w:val="000000"/>
          <w:szCs w:val="28"/>
          <w:lang w:val="ru-RU"/>
        </w:rPr>
        <w:t>Представленный график плотности ядра показывает, что распределение остатков модели близко к теоретическому нормальному распределению. Эмпирическая и нормальная кривые плотности практически идентичны в центральных точках, что визуально подтверждает предположение о нормальном распределении ошибок.</w:t>
      </w:r>
    </w:p>
    <w:p w:rsidR="00B36355" w:rsidRPr="00DF774B" w:rsidRDefault="00B36355" w:rsidP="00B36355">
      <w:pPr>
        <w:tabs>
          <w:tab w:val="left" w:pos="7200"/>
        </w:tabs>
        <w:spacing w:after="0" w:line="360" w:lineRule="auto"/>
        <w:ind w:firstLine="708"/>
        <w:jc w:val="both"/>
        <w:rPr>
          <w:color w:val="000000"/>
          <w:szCs w:val="28"/>
          <w:lang w:val="ru-RU"/>
        </w:rPr>
      </w:pPr>
      <w:r w:rsidRPr="00003271">
        <w:rPr>
          <w:i/>
          <w:color w:val="000000"/>
          <w:szCs w:val="28"/>
          <w:lang w:val="en-US"/>
        </w:rPr>
        <w:t>pnorm</w:t>
      </w:r>
      <w:r w:rsidRPr="00DF774B">
        <w:rPr>
          <w:i/>
          <w:color w:val="000000"/>
          <w:szCs w:val="28"/>
          <w:lang w:val="ru-RU"/>
        </w:rPr>
        <w:t xml:space="preserve"> </w:t>
      </w:r>
      <w:r w:rsidRPr="00DF774B">
        <w:rPr>
          <w:color w:val="000000"/>
          <w:szCs w:val="28"/>
          <w:lang w:val="ru-RU"/>
        </w:rPr>
        <w:t>расшифровывается как пробит-нормальный (кумулятивный) график. Он визуально показывает соответствие между эмпирическим и теоретическим нормальным распределениями ошибок в модели. Он сравнивает кумулятивное распределение вероятностей (</w:t>
      </w:r>
      <w:r w:rsidRPr="00003271">
        <w:rPr>
          <w:color w:val="000000"/>
          <w:szCs w:val="28"/>
          <w:lang w:val="en-US"/>
        </w:rPr>
        <w:t>CDF</w:t>
      </w:r>
      <w:r w:rsidRPr="00DF774B">
        <w:rPr>
          <w:color w:val="000000"/>
          <w:szCs w:val="28"/>
          <w:lang w:val="ru-RU"/>
        </w:rPr>
        <w:t>) остатков с вероятностями из нормального распределения. Если кривая на графике близка к диагонали, говорят, что ошибки распределены нормально. График показывает, насколько быстро ошибки распределены нормально.</w:t>
      </w:r>
    </w:p>
    <w:p w:rsidR="00B36355" w:rsidRPr="00DF774B" w:rsidRDefault="00B36355" w:rsidP="00B36355">
      <w:pPr>
        <w:tabs>
          <w:tab w:val="left" w:pos="7200"/>
        </w:tabs>
        <w:spacing w:after="0" w:line="360" w:lineRule="auto"/>
        <w:ind w:firstLine="708"/>
        <w:jc w:val="both"/>
        <w:rPr>
          <w:color w:val="000000"/>
          <w:szCs w:val="28"/>
          <w:lang w:val="ru-RU"/>
        </w:rPr>
      </w:pPr>
      <w:r w:rsidRPr="00003271">
        <w:rPr>
          <w:i/>
          <w:color w:val="000000"/>
          <w:szCs w:val="28"/>
          <w:lang w:val="en-US"/>
        </w:rPr>
        <w:t>qnorm</w:t>
      </w:r>
      <w:r w:rsidRPr="00DF774B">
        <w:rPr>
          <w:i/>
          <w:color w:val="000000"/>
          <w:szCs w:val="28"/>
          <w:lang w:val="ru-RU"/>
        </w:rPr>
        <w:t xml:space="preserve"> </w:t>
      </w:r>
      <w:r w:rsidRPr="00003271">
        <w:rPr>
          <w:color w:val="000000"/>
          <w:szCs w:val="28"/>
          <w:lang w:val="en-US"/>
        </w:rPr>
        <w:t>res</w:t>
      </w:r>
      <w:r w:rsidRPr="00DF774B">
        <w:rPr>
          <w:color w:val="000000"/>
          <w:szCs w:val="28"/>
          <w:lang w:val="ru-RU"/>
        </w:rPr>
        <w:t>` используется для визуальной оценки соответствия ошибок, полученных из регрессионной модели, нормальному распределению. Она сравнивает квантильное распределение ошибок с квантилями теоретического нормального распределения. Ошибки считаются нормально распределенными, если точки на графике лежат вдоль прямой линии. График показывает, являются ли ошибки нормально распределенными, по тому, насколько близко точки лежат к линии.</w:t>
      </w:r>
    </w:p>
    <w:p w:rsidR="00B36355" w:rsidRPr="00DF774B" w:rsidRDefault="00B36355" w:rsidP="00B36355">
      <w:pPr>
        <w:tabs>
          <w:tab w:val="left" w:pos="7200"/>
        </w:tabs>
        <w:spacing w:after="0" w:line="360" w:lineRule="auto"/>
        <w:ind w:firstLine="708"/>
        <w:jc w:val="both"/>
        <w:rPr>
          <w:color w:val="000000"/>
          <w:szCs w:val="28"/>
          <w:lang w:val="ru-RU"/>
        </w:rPr>
      </w:pPr>
      <w:r w:rsidRPr="00DF774B">
        <w:rPr>
          <w:color w:val="000000"/>
          <w:szCs w:val="28"/>
          <w:lang w:val="ru-RU"/>
        </w:rPr>
        <w:t>Следующее условие</w:t>
      </w:r>
      <w:r w:rsidRPr="00DF774B">
        <w:rPr>
          <w:lang w:val="ru-RU"/>
        </w:rPr>
        <w:t xml:space="preserve"> </w:t>
      </w:r>
      <w:r w:rsidRPr="00DF774B">
        <w:rPr>
          <w:color w:val="000000"/>
          <w:szCs w:val="28"/>
          <w:lang w:val="ru-RU"/>
        </w:rPr>
        <w:t>Не должно быть никакой гетероскедастичности. Остатки не должны быть связаны со знаками факторов.</w:t>
      </w:r>
    </w:p>
    <w:p w:rsidR="00B36355" w:rsidRPr="00FD10DB" w:rsidRDefault="0012517D" w:rsidP="00B36355">
      <w:pPr>
        <w:widowControl w:val="0"/>
        <w:autoSpaceDE w:val="0"/>
        <w:autoSpaceDN w:val="0"/>
        <w:adjustRightInd w:val="0"/>
        <w:spacing w:after="0" w:line="360" w:lineRule="auto"/>
        <w:ind w:firstLine="720"/>
        <w:jc w:val="right"/>
        <w:rPr>
          <w:rFonts w:eastAsia="Times New Roman"/>
          <w:bCs/>
          <w:color w:val="000000"/>
          <w:szCs w:val="28"/>
          <w:lang w:val="en-US" w:eastAsia="ru-RU"/>
        </w:rPr>
      </w:pPr>
      <w:r>
        <w:rPr>
          <w:rFonts w:eastAsia="Times New Roman"/>
          <w:b/>
          <w:color w:val="242021"/>
          <w:szCs w:val="28"/>
          <w:lang w:val="en-US" w:eastAsia="ru-RU"/>
        </w:rPr>
        <w:t>Таблица 2.5</w:t>
      </w:r>
    </w:p>
    <w:p w:rsidR="00B36355" w:rsidRDefault="00B36355" w:rsidP="00B36355">
      <w:pPr>
        <w:spacing w:after="0" w:line="360" w:lineRule="auto"/>
        <w:jc w:val="center"/>
        <w:rPr>
          <w:color w:val="000000"/>
          <w:szCs w:val="28"/>
          <w:lang w:val="en-US"/>
        </w:rPr>
      </w:pPr>
      <w:r>
        <w:rPr>
          <w:rFonts w:eastAsia="Times New Roman"/>
          <w:b/>
          <w:bCs/>
          <w:color w:val="000000"/>
          <w:szCs w:val="28"/>
          <w:lang w:val="en-US" w:eastAsia="ru-RU"/>
        </w:rPr>
        <w:t>тест на гетероскедастичность</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8"/>
        <w:gridCol w:w="2232"/>
        <w:gridCol w:w="2268"/>
        <w:gridCol w:w="1985"/>
      </w:tblGrid>
      <w:tr w:rsidR="00B36355" w:rsidRPr="00877CC4" w:rsidTr="0012517D">
        <w:trPr>
          <w:jc w:val="center"/>
        </w:trPr>
        <w:tc>
          <w:tcPr>
            <w:tcW w:w="3008" w:type="dxa"/>
          </w:tcPr>
          <w:p w:rsidR="00B36355" w:rsidRPr="00DF774B" w:rsidRDefault="00B36355" w:rsidP="0012517D">
            <w:pPr>
              <w:widowControl w:val="0"/>
              <w:autoSpaceDE w:val="0"/>
              <w:autoSpaceDN w:val="0"/>
              <w:adjustRightInd w:val="0"/>
              <w:spacing w:after="0"/>
              <w:rPr>
                <w:sz w:val="20"/>
                <w:szCs w:val="20"/>
                <w:lang w:val="ru-RU"/>
              </w:rPr>
            </w:pPr>
            <w:r w:rsidRPr="00DF774B">
              <w:rPr>
                <w:sz w:val="20"/>
                <w:szCs w:val="20"/>
                <w:lang w:val="ru-RU"/>
              </w:rPr>
              <w:t>Разложение ИМ-теста Кэмерона и Триведи</w:t>
            </w:r>
          </w:p>
        </w:tc>
        <w:tc>
          <w:tcPr>
            <w:tcW w:w="2232" w:type="dxa"/>
          </w:tcPr>
          <w:p w:rsidR="00B36355" w:rsidRPr="00877CC4" w:rsidRDefault="00B36355" w:rsidP="0012517D">
            <w:pPr>
              <w:widowControl w:val="0"/>
              <w:autoSpaceDE w:val="0"/>
              <w:autoSpaceDN w:val="0"/>
              <w:adjustRightInd w:val="0"/>
              <w:spacing w:after="0"/>
              <w:rPr>
                <w:lang w:val="en-US"/>
              </w:rPr>
            </w:pPr>
            <w:r w:rsidRPr="00877CC4">
              <w:rPr>
                <w:sz w:val="20"/>
                <w:lang w:val="en-US"/>
              </w:rPr>
              <w:t xml:space="preserve">глава </w:t>
            </w:r>
            <w:r w:rsidRPr="00877CC4">
              <w:rPr>
                <w:sz w:val="20"/>
                <w:vertAlign w:val="superscript"/>
                <w:lang w:val="en-US"/>
              </w:rPr>
              <w:t>2</w:t>
            </w:r>
          </w:p>
        </w:tc>
        <w:tc>
          <w:tcPr>
            <w:tcW w:w="2268"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df</w:t>
            </w:r>
          </w:p>
        </w:tc>
        <w:tc>
          <w:tcPr>
            <w:tcW w:w="1985"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p-значение</w:t>
            </w:r>
          </w:p>
        </w:tc>
      </w:tr>
      <w:tr w:rsidR="00B36355" w:rsidRPr="00877CC4" w:rsidTr="0012517D">
        <w:trPr>
          <w:jc w:val="center"/>
        </w:trPr>
        <w:tc>
          <w:tcPr>
            <w:tcW w:w="3008"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Гетероскедастичность</w:t>
            </w:r>
          </w:p>
        </w:tc>
        <w:tc>
          <w:tcPr>
            <w:tcW w:w="2232"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15 000</w:t>
            </w:r>
          </w:p>
        </w:tc>
        <w:tc>
          <w:tcPr>
            <w:tcW w:w="2268"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14</w:t>
            </w:r>
          </w:p>
        </w:tc>
        <w:tc>
          <w:tcPr>
            <w:tcW w:w="1985"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0,378</w:t>
            </w:r>
          </w:p>
        </w:tc>
      </w:tr>
      <w:tr w:rsidR="00B36355" w:rsidRPr="00877CC4" w:rsidTr="0012517D">
        <w:trPr>
          <w:jc w:val="center"/>
        </w:trPr>
        <w:tc>
          <w:tcPr>
            <w:tcW w:w="3008"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Асимметрия</w:t>
            </w:r>
          </w:p>
        </w:tc>
        <w:tc>
          <w:tcPr>
            <w:tcW w:w="2232"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7.090</w:t>
            </w:r>
          </w:p>
        </w:tc>
        <w:tc>
          <w:tcPr>
            <w:tcW w:w="2268"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6</w:t>
            </w:r>
          </w:p>
        </w:tc>
        <w:tc>
          <w:tcPr>
            <w:tcW w:w="1985"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0,312</w:t>
            </w:r>
          </w:p>
        </w:tc>
      </w:tr>
      <w:tr w:rsidR="00B36355" w:rsidRPr="00877CC4" w:rsidTr="0012517D">
        <w:trPr>
          <w:jc w:val="center"/>
        </w:trPr>
        <w:tc>
          <w:tcPr>
            <w:tcW w:w="3008"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Куртозис</w:t>
            </w:r>
          </w:p>
        </w:tc>
        <w:tc>
          <w:tcPr>
            <w:tcW w:w="2232"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1.670</w:t>
            </w:r>
          </w:p>
        </w:tc>
        <w:tc>
          <w:tcPr>
            <w:tcW w:w="2268"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1</w:t>
            </w:r>
          </w:p>
        </w:tc>
        <w:tc>
          <w:tcPr>
            <w:tcW w:w="1985"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0,196</w:t>
            </w:r>
          </w:p>
        </w:tc>
      </w:tr>
      <w:tr w:rsidR="00B36355" w:rsidRPr="00877CC4" w:rsidTr="0012517D">
        <w:trPr>
          <w:jc w:val="center"/>
        </w:trPr>
        <w:tc>
          <w:tcPr>
            <w:tcW w:w="3008"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Комбинированный тест</w:t>
            </w:r>
          </w:p>
        </w:tc>
        <w:tc>
          <w:tcPr>
            <w:tcW w:w="2232"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23,760</w:t>
            </w:r>
          </w:p>
        </w:tc>
        <w:tc>
          <w:tcPr>
            <w:tcW w:w="2268"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21</w:t>
            </w:r>
          </w:p>
        </w:tc>
        <w:tc>
          <w:tcPr>
            <w:tcW w:w="1985" w:type="dxa"/>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0,305</w:t>
            </w:r>
          </w:p>
        </w:tc>
      </w:tr>
    </w:tbl>
    <w:p w:rsidR="00B36355" w:rsidRPr="00DF774B" w:rsidRDefault="00B36355" w:rsidP="00B36355">
      <w:pPr>
        <w:spacing w:after="0" w:line="360" w:lineRule="auto"/>
        <w:ind w:firstLine="708"/>
        <w:jc w:val="both"/>
        <w:rPr>
          <w:bCs/>
          <w:color w:val="000000"/>
          <w:szCs w:val="28"/>
          <w:lang w:val="ru-RU"/>
        </w:rPr>
      </w:pPr>
      <w:r w:rsidRPr="00DF774B">
        <w:rPr>
          <w:bCs/>
          <w:color w:val="000000"/>
          <w:szCs w:val="28"/>
          <w:lang w:val="ru-RU"/>
        </w:rPr>
        <w:lastRenderedPageBreak/>
        <w:t xml:space="preserve">Согласно результатам ИМ-теста (теста информационной матрицы), подтверждена статистическая стабильность остатков построенной регрессионной модели и их приближение к нормальному распределению. В частности, тест на гетероскедастичность </w:t>
      </w:r>
      <w:r>
        <w:rPr>
          <w:bCs/>
          <w:color w:val="000000"/>
          <w:szCs w:val="28"/>
          <w:lang w:val="uz-Cyrl-UZ"/>
        </w:rPr>
        <w:t xml:space="preserve">дал </w:t>
      </w:r>
      <w:r w:rsidRPr="00DF774B">
        <w:rPr>
          <w:bCs/>
          <w:color w:val="000000"/>
          <w:szCs w:val="28"/>
          <w:lang w:val="ru-RU"/>
        </w:rPr>
        <w:t xml:space="preserve">результат </w:t>
      </w:r>
      <w:r w:rsidRPr="00FD10DB">
        <w:rPr>
          <w:bCs/>
          <w:color w:val="000000"/>
          <w:szCs w:val="28"/>
        </w:rPr>
        <w:t xml:space="preserve">χ² = 15,00, df = 14, p = 0,378, что указывает на то, что p-значение больше 0,05, свидетельствуя об </w:t>
      </w:r>
      <w:r>
        <w:rPr>
          <w:bCs/>
          <w:color w:val="000000"/>
          <w:szCs w:val="28"/>
          <w:lang w:val="uz-Cyrl-UZ"/>
        </w:rPr>
        <w:t xml:space="preserve">отсутствии гетероскедастичности в остатках и стабильности </w:t>
      </w:r>
      <w:r w:rsidRPr="00DF774B">
        <w:rPr>
          <w:bCs/>
          <w:color w:val="000000"/>
          <w:szCs w:val="28"/>
          <w:lang w:val="ru-RU"/>
        </w:rPr>
        <w:t xml:space="preserve">их дисперсии . Тест на асимметрию </w:t>
      </w:r>
      <w:r>
        <w:rPr>
          <w:bCs/>
          <w:color w:val="000000"/>
          <w:szCs w:val="28"/>
          <w:lang w:val="uz-Cyrl-UZ"/>
        </w:rPr>
        <w:t xml:space="preserve">показал значение </w:t>
      </w:r>
      <w:r w:rsidRPr="00FD10DB">
        <w:rPr>
          <w:bCs/>
          <w:color w:val="000000"/>
          <w:szCs w:val="28"/>
        </w:rPr>
        <w:t xml:space="preserve">χ² </w:t>
      </w:r>
      <w:r w:rsidRPr="00DF774B">
        <w:rPr>
          <w:bCs/>
          <w:color w:val="000000"/>
          <w:szCs w:val="28"/>
          <w:lang w:val="ru-RU"/>
        </w:rPr>
        <w:t xml:space="preserve">= 7,09, </w:t>
      </w:r>
      <w:r w:rsidRPr="007D70E6">
        <w:rPr>
          <w:bCs/>
          <w:color w:val="000000"/>
          <w:szCs w:val="28"/>
          <w:lang w:val="en-US"/>
        </w:rPr>
        <w:t>df</w:t>
      </w:r>
      <w:r w:rsidRPr="00DF774B">
        <w:rPr>
          <w:bCs/>
          <w:color w:val="000000"/>
          <w:szCs w:val="28"/>
          <w:lang w:val="ru-RU"/>
        </w:rPr>
        <w:t xml:space="preserve"> = 6, </w:t>
      </w:r>
      <w:r w:rsidRPr="007D70E6">
        <w:rPr>
          <w:bCs/>
          <w:color w:val="000000"/>
          <w:szCs w:val="28"/>
          <w:lang w:val="en-US"/>
        </w:rPr>
        <w:t>p</w:t>
      </w:r>
      <w:r w:rsidRPr="00DF774B">
        <w:rPr>
          <w:bCs/>
          <w:color w:val="000000"/>
          <w:szCs w:val="28"/>
          <w:lang w:val="ru-RU"/>
        </w:rPr>
        <w:t xml:space="preserve"> = 0,312 , что означает </w:t>
      </w:r>
      <w:r>
        <w:rPr>
          <w:bCs/>
          <w:color w:val="000000"/>
          <w:szCs w:val="28"/>
          <w:lang w:val="uz-Cyrl-UZ"/>
        </w:rPr>
        <w:t xml:space="preserve">отсутствие </w:t>
      </w:r>
      <w:r w:rsidRPr="00DF774B">
        <w:rPr>
          <w:bCs/>
          <w:color w:val="000000"/>
          <w:szCs w:val="28"/>
          <w:lang w:val="ru-RU"/>
        </w:rPr>
        <w:t xml:space="preserve">проблемы асимметрии в распределении остатков . Тест на эксцесс дал результат </w:t>
      </w:r>
      <w:r w:rsidRPr="00FD10DB">
        <w:rPr>
          <w:bCs/>
          <w:color w:val="000000"/>
          <w:szCs w:val="28"/>
        </w:rPr>
        <w:t xml:space="preserve">χ² </w:t>
      </w:r>
      <w:r w:rsidRPr="00DF774B">
        <w:rPr>
          <w:bCs/>
          <w:color w:val="000000"/>
          <w:szCs w:val="28"/>
          <w:lang w:val="ru-RU"/>
        </w:rPr>
        <w:t xml:space="preserve">= 1,67, </w:t>
      </w:r>
      <w:r w:rsidRPr="007D70E6">
        <w:rPr>
          <w:bCs/>
          <w:color w:val="000000"/>
          <w:szCs w:val="28"/>
          <w:lang w:val="en-US"/>
        </w:rPr>
        <w:t>df</w:t>
      </w:r>
      <w:r w:rsidRPr="00DF774B">
        <w:rPr>
          <w:bCs/>
          <w:color w:val="000000"/>
          <w:szCs w:val="28"/>
          <w:lang w:val="ru-RU"/>
        </w:rPr>
        <w:t xml:space="preserve"> = 1, </w:t>
      </w:r>
      <w:r w:rsidRPr="007D70E6">
        <w:rPr>
          <w:bCs/>
          <w:color w:val="000000"/>
          <w:szCs w:val="28"/>
          <w:lang w:val="en-US"/>
        </w:rPr>
        <w:t>p</w:t>
      </w:r>
      <w:r w:rsidRPr="00DF774B">
        <w:rPr>
          <w:bCs/>
          <w:color w:val="000000"/>
          <w:szCs w:val="28"/>
          <w:lang w:val="ru-RU"/>
        </w:rPr>
        <w:t xml:space="preserve"> = 0,196, что </w:t>
      </w:r>
      <w:r>
        <w:rPr>
          <w:bCs/>
          <w:color w:val="000000"/>
          <w:szCs w:val="28"/>
          <w:lang w:val="uz-Cyrl-UZ"/>
        </w:rPr>
        <w:t xml:space="preserve">указывает на </w:t>
      </w:r>
      <w:r w:rsidRPr="00DF774B">
        <w:rPr>
          <w:bCs/>
          <w:color w:val="000000"/>
          <w:szCs w:val="28"/>
          <w:lang w:val="ru-RU"/>
        </w:rPr>
        <w:t xml:space="preserve">то, что пик остатков не отличается от нормального распределения. Итоговый общий тест показал значение </w:t>
      </w:r>
      <w:r w:rsidRPr="00FD10DB">
        <w:rPr>
          <w:bCs/>
          <w:color w:val="000000"/>
          <w:szCs w:val="28"/>
        </w:rPr>
        <w:t xml:space="preserve">χ² = 23,76, df = 21, p = 0,305, а значение p больше 0,05 указывает на то, что </w:t>
      </w:r>
      <w:r w:rsidRPr="00DF774B">
        <w:rPr>
          <w:bCs/>
          <w:color w:val="000000"/>
          <w:szCs w:val="28"/>
          <w:lang w:val="ru-RU"/>
        </w:rPr>
        <w:t xml:space="preserve">остатки модели в целом близки к нормальному распределению и обладают хорошими статистическими свойствами </w:t>
      </w:r>
      <w:r>
        <w:rPr>
          <w:bCs/>
          <w:color w:val="000000"/>
          <w:szCs w:val="28"/>
          <w:lang w:val="uz-Cyrl-UZ"/>
        </w:rPr>
        <w:t xml:space="preserve">. </w:t>
      </w:r>
      <w:r w:rsidRPr="00DF774B">
        <w:rPr>
          <w:bCs/>
          <w:color w:val="000000"/>
          <w:szCs w:val="28"/>
          <w:lang w:val="ru-RU"/>
        </w:rPr>
        <w:t>Следовательно, результаты выбранной модели считаются надежными и служат прочной основой для дальнейшего анализа.</w:t>
      </w:r>
    </w:p>
    <w:p w:rsidR="00B36355" w:rsidRPr="00DF774B" w:rsidRDefault="00B36355" w:rsidP="00B36355">
      <w:pPr>
        <w:spacing w:after="0" w:line="360" w:lineRule="auto"/>
        <w:ind w:firstLine="708"/>
        <w:jc w:val="both"/>
        <w:rPr>
          <w:rFonts w:eastAsia="Times New Roman"/>
          <w:bCs/>
          <w:color w:val="000000"/>
          <w:szCs w:val="28"/>
          <w:lang w:val="ru-RU" w:eastAsia="ru-RU"/>
        </w:rPr>
      </w:pPr>
      <w:r w:rsidRPr="00DF774B">
        <w:rPr>
          <w:rFonts w:eastAsia="Times New Roman"/>
          <w:bCs/>
          <w:color w:val="000000"/>
          <w:szCs w:val="28"/>
          <w:lang w:val="ru-RU" w:eastAsia="ru-RU"/>
        </w:rPr>
        <w:t xml:space="preserve">Следующая гипотеза: ошибки </w:t>
      </w:r>
      <w:r w:rsidRPr="00DF774B">
        <w:rPr>
          <w:rFonts w:eastAsia="Times New Roman"/>
          <w:color w:val="000000"/>
          <w:szCs w:val="28"/>
          <w:lang w:val="ru-RU" w:eastAsia="ru-RU"/>
        </w:rPr>
        <w:t xml:space="preserve">должны </w:t>
      </w:r>
      <w:r w:rsidRPr="00DF774B">
        <w:rPr>
          <w:rFonts w:eastAsia="Times New Roman"/>
          <w:bCs/>
          <w:color w:val="000000"/>
          <w:szCs w:val="28"/>
          <w:lang w:val="ru-RU" w:eastAsia="ru-RU"/>
        </w:rPr>
        <w:t xml:space="preserve">быть некоррелированными </w:t>
      </w:r>
      <w:r w:rsidRPr="00DF774B">
        <w:rPr>
          <w:rFonts w:eastAsia="Times New Roman"/>
          <w:color w:val="000000"/>
          <w:szCs w:val="28"/>
          <w:lang w:val="ru-RU" w:eastAsia="ru-RU"/>
        </w:rPr>
        <w:t xml:space="preserve">, </w:t>
      </w:r>
      <w:r w:rsidRPr="00DF774B">
        <w:rPr>
          <w:rFonts w:eastAsia="Times New Roman"/>
          <w:bCs/>
          <w:color w:val="000000"/>
          <w:szCs w:val="28"/>
          <w:lang w:val="ru-RU" w:eastAsia="ru-RU"/>
        </w:rPr>
        <w:t xml:space="preserve">то есть </w:t>
      </w:r>
      <w:r w:rsidRPr="00DF774B">
        <w:rPr>
          <w:rFonts w:eastAsia="Times New Roman"/>
          <w:color w:val="000000"/>
          <w:szCs w:val="28"/>
          <w:lang w:val="ru-RU" w:eastAsia="ru-RU"/>
        </w:rPr>
        <w:t xml:space="preserve">автокорреляции быть не должно. Автокорреляция — это состояние, </w:t>
      </w:r>
      <w:r w:rsidRPr="00DF774B">
        <w:rPr>
          <w:rFonts w:eastAsia="Times New Roman"/>
          <w:bCs/>
          <w:color w:val="000000"/>
          <w:szCs w:val="28"/>
          <w:lang w:val="ru-RU" w:eastAsia="ru-RU"/>
        </w:rPr>
        <w:t xml:space="preserve">при котором ошибки в модели коррелированы. То есть ошибка в одном наблюдении предсказывает ошибку в другом наблюдении. Если стандартные ошибки неверны, </w:t>
      </w:r>
      <w:r w:rsidRPr="0070770F">
        <w:rPr>
          <w:rFonts w:eastAsia="Times New Roman"/>
          <w:bCs/>
          <w:color w:val="000000"/>
          <w:szCs w:val="28"/>
          <w:lang w:val="en-US" w:eastAsia="ru-RU"/>
        </w:rPr>
        <w:t>t</w:t>
      </w:r>
      <w:r w:rsidRPr="00DF774B">
        <w:rPr>
          <w:rFonts w:eastAsia="Times New Roman"/>
          <w:bCs/>
          <w:color w:val="000000"/>
          <w:szCs w:val="28"/>
          <w:lang w:val="ru-RU" w:eastAsia="ru-RU"/>
        </w:rPr>
        <w:t xml:space="preserve">-статистика и </w:t>
      </w:r>
      <w:r w:rsidRPr="0070770F">
        <w:rPr>
          <w:rFonts w:eastAsia="Times New Roman"/>
          <w:bCs/>
          <w:color w:val="000000"/>
          <w:szCs w:val="28"/>
          <w:lang w:val="en-US" w:eastAsia="ru-RU"/>
        </w:rPr>
        <w:t>p</w:t>
      </w:r>
      <w:r w:rsidRPr="00DF774B">
        <w:rPr>
          <w:rFonts w:eastAsia="Times New Roman"/>
          <w:bCs/>
          <w:color w:val="000000"/>
          <w:szCs w:val="28"/>
          <w:lang w:val="ru-RU" w:eastAsia="ru-RU"/>
        </w:rPr>
        <w:t xml:space="preserve">-значение будут ненадежными. Коэффициенты будут неэффективными, предсказание будет неточным, а предсказание модели — неверным. </w:t>
      </w:r>
      <w:r w:rsidRPr="00DF774B">
        <w:rPr>
          <w:rFonts w:eastAsia="Times New Roman"/>
          <w:color w:val="000000"/>
          <w:szCs w:val="28"/>
          <w:lang w:val="ru-RU" w:eastAsia="ru-RU"/>
        </w:rPr>
        <w:t xml:space="preserve">Для проверки этого мы используем тест </w:t>
      </w:r>
      <w:r w:rsidRPr="00DF774B">
        <w:rPr>
          <w:rFonts w:eastAsia="Times New Roman"/>
          <w:i/>
          <w:color w:val="000000"/>
          <w:szCs w:val="28"/>
          <w:lang w:val="ru-RU" w:eastAsia="ru-RU"/>
        </w:rPr>
        <w:t xml:space="preserve">Дарбина-Уотсона ( </w:t>
      </w:r>
      <w:r w:rsidRPr="000051DA">
        <w:rPr>
          <w:rFonts w:eastAsia="Times New Roman"/>
          <w:i/>
          <w:iCs/>
          <w:color w:val="000000"/>
          <w:szCs w:val="28"/>
          <w:lang w:val="en-US" w:eastAsia="ru-RU"/>
        </w:rPr>
        <w:t>DW</w:t>
      </w:r>
      <w:r w:rsidRPr="00DF774B">
        <w:rPr>
          <w:rFonts w:eastAsia="Times New Roman"/>
          <w:i/>
          <w:iCs/>
          <w:color w:val="000000"/>
          <w:szCs w:val="28"/>
          <w:lang w:val="ru-RU" w:eastAsia="ru-RU"/>
        </w:rPr>
        <w:t xml:space="preserve"> </w:t>
      </w:r>
      <w:r w:rsidRPr="00DF774B">
        <w:rPr>
          <w:rFonts w:eastAsia="Times New Roman"/>
          <w:i/>
          <w:color w:val="000000"/>
          <w:szCs w:val="28"/>
          <w:lang w:val="ru-RU" w:eastAsia="ru-RU"/>
        </w:rPr>
        <w:t xml:space="preserve">) </w:t>
      </w:r>
      <w:r w:rsidRPr="00DF774B">
        <w:rPr>
          <w:rFonts w:eastAsia="Times New Roman"/>
          <w:color w:val="000000"/>
          <w:szCs w:val="28"/>
          <w:lang w:val="ru-RU" w:eastAsia="ru-RU"/>
        </w:rPr>
        <w:t>.</w:t>
      </w:r>
    </w:p>
    <w:p w:rsidR="00B36355" w:rsidRPr="00DF774B" w:rsidRDefault="00B36355" w:rsidP="00B36355">
      <w:pPr>
        <w:spacing w:after="0" w:line="360" w:lineRule="auto"/>
        <w:ind w:firstLine="708"/>
        <w:jc w:val="both"/>
        <w:rPr>
          <w:rFonts w:eastAsia="Times New Roman"/>
          <w:color w:val="000000"/>
          <w:szCs w:val="28"/>
          <w:lang w:val="ru-RU" w:eastAsia="ru-RU"/>
        </w:rPr>
      </w:pPr>
      <w:r w:rsidRPr="00DF774B">
        <w:rPr>
          <w:rFonts w:eastAsia="Times New Roman"/>
          <w:color w:val="000000"/>
          <w:szCs w:val="28"/>
          <w:lang w:val="ru-RU" w:eastAsia="ru-RU"/>
        </w:rPr>
        <w:t>Статистика Дурбина-Уотсона ( 7, 15) = 1,748111</w:t>
      </w:r>
    </w:p>
    <w:p w:rsidR="00B36355" w:rsidRPr="00DF774B" w:rsidRDefault="00B36355" w:rsidP="00B36355">
      <w:pPr>
        <w:spacing w:after="0" w:line="360" w:lineRule="auto"/>
        <w:ind w:firstLine="708"/>
        <w:jc w:val="both"/>
        <w:rPr>
          <w:rFonts w:eastAsia="Times New Roman"/>
          <w:color w:val="000000"/>
          <w:szCs w:val="28"/>
          <w:lang w:val="ru-RU" w:eastAsia="ru-RU"/>
        </w:rPr>
      </w:pPr>
      <w:r w:rsidRPr="00DF774B">
        <w:rPr>
          <w:rFonts w:eastAsia="Times New Roman"/>
          <w:i/>
          <w:color w:val="000000"/>
          <w:szCs w:val="28"/>
          <w:lang w:val="ru-RU" w:eastAsia="ru-RU"/>
        </w:rPr>
        <w:t>Дарбина-Уотсона (</w:t>
      </w:r>
      <w:r w:rsidRPr="000051DA">
        <w:rPr>
          <w:rFonts w:eastAsia="Times New Roman"/>
          <w:i/>
          <w:color w:val="000000"/>
          <w:szCs w:val="28"/>
          <w:lang w:val="en-US" w:eastAsia="ru-RU"/>
        </w:rPr>
        <w:t>DW</w:t>
      </w:r>
      <w:r w:rsidRPr="00DF774B">
        <w:rPr>
          <w:rFonts w:eastAsia="Times New Roman"/>
          <w:i/>
          <w:color w:val="000000"/>
          <w:szCs w:val="28"/>
          <w:lang w:val="ru-RU" w:eastAsia="ru-RU"/>
        </w:rPr>
        <w:t xml:space="preserve">) </w:t>
      </w:r>
      <w:r w:rsidRPr="00DF774B">
        <w:rPr>
          <w:rFonts w:eastAsia="Times New Roman"/>
          <w:color w:val="000000"/>
          <w:szCs w:val="28"/>
          <w:lang w:val="ru-RU" w:eastAsia="ru-RU"/>
        </w:rPr>
        <w:t xml:space="preserve">показывают, что статистика </w:t>
      </w:r>
      <w:r w:rsidRPr="00B40E5B">
        <w:rPr>
          <w:rFonts w:eastAsia="Times New Roman"/>
          <w:color w:val="000000"/>
          <w:szCs w:val="28"/>
          <w:lang w:val="en-US" w:eastAsia="ru-RU"/>
        </w:rPr>
        <w:t>DW</w:t>
      </w:r>
      <w:r w:rsidRPr="00DF774B">
        <w:rPr>
          <w:rFonts w:eastAsia="Times New Roman"/>
          <w:color w:val="000000"/>
          <w:szCs w:val="28"/>
          <w:lang w:val="ru-RU" w:eastAsia="ru-RU"/>
        </w:rPr>
        <w:t xml:space="preserve"> = 1,7481. Здесь значение 1,74 очень близко к 2, поэтому можно сделать вывод об отсутствии значимой автокорреляции в остатках. Это указывает на независимость остатков. В модели отсутствует значимая корреляция временных рядов.</w:t>
      </w:r>
    </w:p>
    <w:p w:rsidR="00B36355" w:rsidRPr="00DF774B" w:rsidRDefault="00B36355" w:rsidP="00B36355">
      <w:pPr>
        <w:spacing w:after="0" w:line="360" w:lineRule="auto"/>
        <w:ind w:firstLine="708"/>
        <w:jc w:val="both"/>
        <w:rPr>
          <w:rFonts w:eastAsia="Times New Roman"/>
          <w:color w:val="000000"/>
          <w:szCs w:val="28"/>
          <w:lang w:val="ru-RU" w:eastAsia="ru-RU"/>
        </w:rPr>
      </w:pPr>
      <w:r w:rsidRPr="00DF774B">
        <w:rPr>
          <w:rFonts w:eastAsia="Times New Roman"/>
          <w:color w:val="000000"/>
          <w:szCs w:val="28"/>
          <w:lang w:val="ru-RU" w:eastAsia="ru-RU"/>
        </w:rPr>
        <w:t>Этот результат означает, что коэффициенты, полученные с помощью метода наименьших квадратов, не искажены гетероскедастичностью или автокорреляцией.</w:t>
      </w:r>
    </w:p>
    <w:p w:rsidR="00B36355" w:rsidRPr="00DF774B" w:rsidRDefault="00B36355" w:rsidP="00B36355">
      <w:pPr>
        <w:spacing w:after="0" w:line="360" w:lineRule="auto"/>
        <w:ind w:firstLine="708"/>
        <w:jc w:val="both"/>
        <w:rPr>
          <w:rFonts w:eastAsia="Times New Roman"/>
          <w:color w:val="000000"/>
          <w:szCs w:val="28"/>
          <w:lang w:val="ru-RU" w:eastAsia="ru-RU"/>
        </w:rPr>
      </w:pPr>
      <w:r w:rsidRPr="00DF774B">
        <w:rPr>
          <w:rFonts w:eastAsia="Times New Roman"/>
          <w:color w:val="000000"/>
          <w:szCs w:val="28"/>
          <w:lang w:val="ru-RU" w:eastAsia="ru-RU"/>
        </w:rPr>
        <w:lastRenderedPageBreak/>
        <w:t xml:space="preserve">В целом, результаты теста </w:t>
      </w:r>
      <w:r w:rsidRPr="00DF774B">
        <w:rPr>
          <w:rFonts w:eastAsia="Times New Roman"/>
          <w:i/>
          <w:color w:val="000000"/>
          <w:szCs w:val="28"/>
          <w:lang w:val="ru-RU" w:eastAsia="ru-RU"/>
        </w:rPr>
        <w:t xml:space="preserve">Дарбина-Уотсона </w:t>
      </w:r>
      <w:r w:rsidRPr="00DF774B">
        <w:rPr>
          <w:rFonts w:eastAsia="Times New Roman"/>
          <w:color w:val="000000"/>
          <w:szCs w:val="28"/>
          <w:lang w:val="ru-RU" w:eastAsia="ru-RU"/>
        </w:rPr>
        <w:t>указывают на отсутствие автокорреляции в регрессионной модели. Это свидетельствует о выполнении еще одного важного эконометрического условия модели и позволяет надежно интерпретировать результаты.</w:t>
      </w:r>
    </w:p>
    <w:p w:rsidR="00B36355" w:rsidRPr="009E1503" w:rsidRDefault="00B36355" w:rsidP="00B36355">
      <w:pPr>
        <w:spacing w:after="0" w:line="360" w:lineRule="auto"/>
        <w:ind w:firstLine="708"/>
        <w:jc w:val="both"/>
        <w:rPr>
          <w:color w:val="000000"/>
          <w:szCs w:val="28"/>
          <w:lang w:val="en-US"/>
        </w:rPr>
      </w:pPr>
      <w:r w:rsidRPr="00DF774B">
        <w:rPr>
          <w:color w:val="000000"/>
          <w:szCs w:val="28"/>
          <w:lang w:val="ru-RU"/>
        </w:rPr>
        <w:t xml:space="preserve">Таким образом, если мы сделаем вывод о факторах, включенных в многофакторную эконометрическую модель, частные коэффициенты корреляции указывают на надежную и высокую корреляцию. Следовательно, мы строим многофакторную эконометрическую модель на основе полученного фактора и факторов, влияющих на него. </w:t>
      </w:r>
      <w:r w:rsidRPr="008E384D">
        <w:rPr>
          <w:color w:val="000000"/>
          <w:szCs w:val="28"/>
          <w:lang w:val="en-US"/>
        </w:rPr>
        <w:t>Эта многофакторная эконометрическая модель выглядит следующим образом:</w:t>
      </w:r>
    </w:p>
    <w:p w:rsidR="00B36355" w:rsidRPr="00F50397" w:rsidRDefault="00F50397" w:rsidP="00B36355">
      <w:pPr>
        <w:spacing w:after="0"/>
        <w:ind w:left="708" w:firstLine="708"/>
        <w:jc w:val="both"/>
        <w:rPr>
          <w:b/>
          <w:color w:val="000000"/>
          <w:szCs w:val="28"/>
          <w:lang w:val="en-US"/>
        </w:rPr>
      </w:pPr>
      <m:oMathPara>
        <m:oMathParaPr>
          <m:jc m:val="center"/>
        </m:oMathParaPr>
        <m:oMath>
          <m:r>
            <m:rPr>
              <m:sty m:val="bi"/>
            </m:rPr>
            <w:rPr>
              <w:rFonts w:ascii="Cambria Math" w:hAnsi="Cambria Math"/>
              <w:color w:val="000000"/>
              <w:szCs w:val="28"/>
              <w:lang w:val="en-US"/>
            </w:rPr>
            <m:t>Y=</m:t>
          </m:r>
          <m:sSub>
            <m:sSubPr>
              <m:ctrlPr>
                <w:rPr>
                  <w:rFonts w:ascii="Cambria Math" w:hAnsi="Cambria Math"/>
                  <w:b/>
                  <w:i/>
                  <w:color w:val="000000"/>
                  <w:lang w:val="en-US"/>
                </w:rPr>
              </m:ctrlPr>
            </m:sSubPr>
            <m:e>
              <m:r>
                <m:rPr>
                  <m:sty m:val="bi"/>
                </m:rPr>
                <w:rPr>
                  <w:rFonts w:ascii="Cambria Math" w:hAnsi="Cambria Math"/>
                  <w:color w:val="000000"/>
                  <w:szCs w:val="28"/>
                  <w:lang w:val="en-US"/>
                </w:rPr>
                <m:t>β</m:t>
              </m:r>
            </m:e>
            <m:sub>
              <m:r>
                <m:rPr>
                  <m:sty m:val="bi"/>
                </m:rPr>
                <w:rPr>
                  <w:rFonts w:ascii="Cambria Math" w:hAnsi="Cambria Math"/>
                  <w:color w:val="000000"/>
                  <w:szCs w:val="28"/>
                  <w:lang w:val="en-US"/>
                </w:rPr>
                <m:t>0</m:t>
              </m:r>
            </m:sub>
          </m:sSub>
          <m:r>
            <m:rPr>
              <m:sty m:val="bi"/>
            </m:rPr>
            <w:rPr>
              <w:rFonts w:ascii="Cambria Math" w:hAnsi="Cambria Math"/>
              <w:color w:val="000000"/>
              <w:szCs w:val="28"/>
              <w:lang w:val="en-US"/>
            </w:rPr>
            <m:t>+</m:t>
          </m:r>
          <m:sSub>
            <m:sSubPr>
              <m:ctrlPr>
                <w:rPr>
                  <w:rFonts w:ascii="Cambria Math" w:hAnsi="Cambria Math"/>
                  <w:b/>
                  <w:i/>
                  <w:color w:val="000000"/>
                  <w:lang w:val="en-US"/>
                </w:rPr>
              </m:ctrlPr>
            </m:sSubPr>
            <m:e>
              <m:r>
                <m:rPr>
                  <m:sty m:val="bi"/>
                </m:rPr>
                <w:rPr>
                  <w:rFonts w:ascii="Cambria Math" w:hAnsi="Cambria Math"/>
                  <w:color w:val="000000"/>
                  <w:szCs w:val="28"/>
                  <w:lang w:val="en-US"/>
                </w:rPr>
                <m:t>β</m:t>
              </m:r>
            </m:e>
            <m:sub>
              <m:r>
                <m:rPr>
                  <m:sty m:val="bi"/>
                </m:rPr>
                <w:rPr>
                  <w:rFonts w:ascii="Cambria Math" w:hAnsi="Cambria Math"/>
                  <w:color w:val="000000"/>
                  <w:szCs w:val="28"/>
                  <w:lang w:val="en-US"/>
                </w:rPr>
                <m:t>1</m:t>
              </m:r>
            </m:sub>
          </m:sSub>
          <m:sSub>
            <m:sSubPr>
              <m:ctrlPr>
                <w:rPr>
                  <w:rFonts w:ascii="Cambria Math" w:hAnsi="Cambria Math"/>
                  <w:b/>
                  <w:i/>
                  <w:color w:val="000000"/>
                  <w:lang w:val="en-US"/>
                </w:rPr>
              </m:ctrlPr>
            </m:sSubPr>
            <m:e>
              <m:r>
                <m:rPr>
                  <m:sty m:val="bi"/>
                </m:rPr>
                <w:rPr>
                  <w:rFonts w:ascii="Cambria Math" w:hAnsi="Cambria Math"/>
                  <w:color w:val="000000"/>
                  <w:szCs w:val="28"/>
                  <w:lang w:val="en-US"/>
                </w:rPr>
                <m:t>X</m:t>
              </m:r>
            </m:e>
            <m:sub>
              <m:r>
                <m:rPr>
                  <m:sty m:val="bi"/>
                </m:rPr>
                <w:rPr>
                  <w:rFonts w:ascii="Cambria Math" w:hAnsi="Cambria Math"/>
                  <w:color w:val="000000"/>
                  <w:szCs w:val="28"/>
                  <w:lang w:val="en-US"/>
                </w:rPr>
                <m:t>1</m:t>
              </m:r>
            </m:sub>
          </m:sSub>
          <m:r>
            <m:rPr>
              <m:sty m:val="bi"/>
            </m:rPr>
            <w:rPr>
              <w:rFonts w:ascii="Cambria Math" w:hAnsi="Cambria Math"/>
              <w:color w:val="000000"/>
              <w:szCs w:val="28"/>
              <w:lang w:val="en-US"/>
            </w:rPr>
            <m:t xml:space="preserve">+ </m:t>
          </m:r>
          <m:sSub>
            <m:sSubPr>
              <m:ctrlPr>
                <w:rPr>
                  <w:rFonts w:ascii="Cambria Math" w:hAnsi="Cambria Math"/>
                  <w:b/>
                  <w:i/>
                  <w:color w:val="000000"/>
                  <w:lang w:val="en-US"/>
                </w:rPr>
              </m:ctrlPr>
            </m:sSubPr>
            <m:e>
              <m:r>
                <m:rPr>
                  <m:sty m:val="bi"/>
                </m:rPr>
                <w:rPr>
                  <w:rFonts w:ascii="Cambria Math" w:hAnsi="Cambria Math"/>
                  <w:color w:val="000000"/>
                  <w:szCs w:val="28"/>
                  <w:lang w:val="en-US"/>
                </w:rPr>
                <m:t>β</m:t>
              </m:r>
            </m:e>
            <m:sub>
              <m:r>
                <m:rPr>
                  <m:sty m:val="bi"/>
                </m:rPr>
                <w:rPr>
                  <w:rFonts w:ascii="Cambria Math" w:hAnsi="Cambria Math"/>
                  <w:color w:val="000000"/>
                  <w:szCs w:val="28"/>
                  <w:lang w:val="en-US"/>
                </w:rPr>
                <m:t>2</m:t>
              </m:r>
            </m:sub>
          </m:sSub>
          <m:sSub>
            <m:sSubPr>
              <m:ctrlPr>
                <w:rPr>
                  <w:rFonts w:ascii="Cambria Math" w:hAnsi="Cambria Math"/>
                  <w:b/>
                  <w:i/>
                  <w:color w:val="000000"/>
                  <w:lang w:val="en-US"/>
                </w:rPr>
              </m:ctrlPr>
            </m:sSubPr>
            <m:e>
              <m:r>
                <m:rPr>
                  <m:sty m:val="bi"/>
                </m:rPr>
                <w:rPr>
                  <w:rFonts w:ascii="Cambria Math" w:hAnsi="Cambria Math"/>
                  <w:color w:val="000000"/>
                  <w:szCs w:val="28"/>
                  <w:lang w:val="en-US"/>
                </w:rPr>
                <m:t>X</m:t>
              </m:r>
            </m:e>
            <m:sub>
              <m:r>
                <m:rPr>
                  <m:sty m:val="bi"/>
                </m:rPr>
                <w:rPr>
                  <w:rFonts w:ascii="Cambria Math" w:hAnsi="Cambria Math"/>
                  <w:color w:val="000000"/>
                  <w:szCs w:val="28"/>
                  <w:lang w:val="en-US"/>
                </w:rPr>
                <m:t>2</m:t>
              </m:r>
            </m:sub>
          </m:sSub>
          <m:r>
            <m:rPr>
              <m:sty m:val="bi"/>
            </m:rPr>
            <w:rPr>
              <w:rFonts w:ascii="Cambria Math" w:hAnsi="Cambria Math"/>
              <w:color w:val="000000"/>
              <w:szCs w:val="28"/>
              <w:lang w:val="en-US"/>
            </w:rPr>
            <m:t>+</m:t>
          </m:r>
          <m:sSub>
            <m:sSubPr>
              <m:ctrlPr>
                <w:rPr>
                  <w:rFonts w:ascii="Cambria Math" w:hAnsi="Cambria Math"/>
                  <w:b/>
                  <w:i/>
                  <w:color w:val="000000"/>
                  <w:lang w:val="en-US"/>
                </w:rPr>
              </m:ctrlPr>
            </m:sSubPr>
            <m:e>
              <m:r>
                <m:rPr>
                  <m:sty m:val="bi"/>
                </m:rPr>
                <w:rPr>
                  <w:rFonts w:ascii="Cambria Math" w:hAnsi="Cambria Math"/>
                  <w:color w:val="000000"/>
                  <w:szCs w:val="28"/>
                  <w:lang w:val="en-US"/>
                </w:rPr>
                <m:t>β</m:t>
              </m:r>
            </m:e>
            <m:sub>
              <m:r>
                <m:rPr>
                  <m:sty m:val="bi"/>
                </m:rPr>
                <w:rPr>
                  <w:rFonts w:ascii="Cambria Math" w:hAnsi="Cambria Math"/>
                  <w:color w:val="000000"/>
                  <w:szCs w:val="28"/>
                  <w:lang w:val="en-US"/>
                </w:rPr>
                <m:t>3</m:t>
              </m:r>
            </m:sub>
          </m:sSub>
          <m:sSub>
            <m:sSubPr>
              <m:ctrlPr>
                <w:rPr>
                  <w:rFonts w:ascii="Cambria Math" w:hAnsi="Cambria Math"/>
                  <w:b/>
                  <w:i/>
                  <w:color w:val="000000"/>
                  <w:lang w:val="en-US"/>
                </w:rPr>
              </m:ctrlPr>
            </m:sSubPr>
            <m:e>
              <m:r>
                <m:rPr>
                  <m:sty m:val="bi"/>
                </m:rPr>
                <w:rPr>
                  <w:rFonts w:ascii="Cambria Math" w:hAnsi="Cambria Math"/>
                  <w:color w:val="000000"/>
                  <w:szCs w:val="28"/>
                  <w:lang w:val="en-US"/>
                </w:rPr>
                <m:t>X</m:t>
              </m:r>
            </m:e>
            <m:sub>
              <m:r>
                <m:rPr>
                  <m:sty m:val="bi"/>
                </m:rPr>
                <w:rPr>
                  <w:rFonts w:ascii="Cambria Math" w:hAnsi="Cambria Math"/>
                  <w:color w:val="000000"/>
                  <w:szCs w:val="28"/>
                  <w:lang w:val="en-US"/>
                </w:rPr>
                <m:t>3</m:t>
              </m:r>
            </m:sub>
          </m:sSub>
          <m:r>
            <m:rPr>
              <m:sty m:val="bi"/>
            </m:rPr>
            <w:rPr>
              <w:rFonts w:ascii="Cambria Math" w:hAnsi="Cambria Math"/>
              <w:color w:val="000000"/>
              <w:szCs w:val="28"/>
              <w:lang w:val="en-US"/>
            </w:rPr>
            <m:t>+</m:t>
          </m:r>
          <m:sSub>
            <m:sSubPr>
              <m:ctrlPr>
                <w:rPr>
                  <w:rFonts w:ascii="Cambria Math" w:hAnsi="Cambria Math"/>
                  <w:b/>
                  <w:i/>
                  <w:color w:val="000000"/>
                  <w:lang w:val="en-US"/>
                </w:rPr>
              </m:ctrlPr>
            </m:sSubPr>
            <m:e>
              <m:r>
                <m:rPr>
                  <m:sty m:val="bi"/>
                </m:rPr>
                <w:rPr>
                  <w:rFonts w:ascii="Cambria Math" w:hAnsi="Cambria Math"/>
                  <w:color w:val="000000"/>
                  <w:szCs w:val="28"/>
                  <w:lang w:val="en-US"/>
                </w:rPr>
                <m:t>β</m:t>
              </m:r>
            </m:e>
            <m:sub>
              <m:r>
                <m:rPr>
                  <m:sty m:val="bi"/>
                </m:rPr>
                <w:rPr>
                  <w:rFonts w:ascii="Cambria Math" w:hAnsi="Cambria Math"/>
                  <w:color w:val="000000"/>
                  <w:szCs w:val="28"/>
                  <w:lang w:val="en-US"/>
                </w:rPr>
                <m:t>4</m:t>
              </m:r>
            </m:sub>
          </m:sSub>
          <m:sSub>
            <m:sSubPr>
              <m:ctrlPr>
                <w:rPr>
                  <w:rFonts w:ascii="Cambria Math" w:hAnsi="Cambria Math"/>
                  <w:b/>
                  <w:i/>
                  <w:color w:val="000000"/>
                  <w:lang w:val="en-US"/>
                </w:rPr>
              </m:ctrlPr>
            </m:sSubPr>
            <m:e>
              <m:r>
                <m:rPr>
                  <m:sty m:val="bi"/>
                </m:rPr>
                <w:rPr>
                  <w:rFonts w:ascii="Cambria Math" w:hAnsi="Cambria Math"/>
                  <w:color w:val="000000"/>
                  <w:szCs w:val="28"/>
                  <w:lang w:val="en-US"/>
                </w:rPr>
                <m:t>X</m:t>
              </m:r>
            </m:e>
            <m:sub>
              <m:r>
                <m:rPr>
                  <m:sty m:val="bi"/>
                </m:rPr>
                <w:rPr>
                  <w:rFonts w:ascii="Cambria Math" w:hAnsi="Cambria Math"/>
                  <w:color w:val="000000"/>
                  <w:szCs w:val="28"/>
                  <w:lang w:val="en-US"/>
                </w:rPr>
                <m:t>4</m:t>
              </m:r>
            </m:sub>
          </m:sSub>
          <m:r>
            <m:rPr>
              <m:sty m:val="bi"/>
            </m:rPr>
            <w:rPr>
              <w:rFonts w:ascii="Cambria Math" w:hAnsi="Cambria Math"/>
              <w:color w:val="000000"/>
              <w:szCs w:val="28"/>
              <w:lang w:val="en-US"/>
            </w:rPr>
            <m:t>+</m:t>
          </m:r>
          <m:sSub>
            <m:sSubPr>
              <m:ctrlPr>
                <w:rPr>
                  <w:rFonts w:ascii="Cambria Math" w:hAnsi="Cambria Math"/>
                  <w:b/>
                  <w:i/>
                  <w:color w:val="000000"/>
                  <w:lang w:val="en-US"/>
                </w:rPr>
              </m:ctrlPr>
            </m:sSubPr>
            <m:e>
              <m:r>
                <m:rPr>
                  <m:sty m:val="bi"/>
                </m:rPr>
                <w:rPr>
                  <w:rFonts w:ascii="Cambria Math" w:hAnsi="Cambria Math"/>
                  <w:color w:val="000000"/>
                  <w:szCs w:val="28"/>
                  <w:lang w:val="en-US"/>
                </w:rPr>
                <m:t>β</m:t>
              </m:r>
            </m:e>
            <m:sub>
              <m:r>
                <m:rPr>
                  <m:sty m:val="bi"/>
                </m:rPr>
                <w:rPr>
                  <w:rFonts w:ascii="Cambria Math" w:hAnsi="Cambria Math"/>
                  <w:color w:val="000000"/>
                  <w:szCs w:val="28"/>
                  <w:lang w:val="en-US"/>
                </w:rPr>
                <m:t>5</m:t>
              </m:r>
            </m:sub>
          </m:sSub>
          <m:sSub>
            <m:sSubPr>
              <m:ctrlPr>
                <w:rPr>
                  <w:rFonts w:ascii="Cambria Math" w:hAnsi="Cambria Math"/>
                  <w:b/>
                  <w:i/>
                  <w:color w:val="000000"/>
                  <w:lang w:val="en-US"/>
                </w:rPr>
              </m:ctrlPr>
            </m:sSubPr>
            <m:e>
              <m:r>
                <m:rPr>
                  <m:sty m:val="bi"/>
                </m:rPr>
                <w:rPr>
                  <w:rFonts w:ascii="Cambria Math" w:hAnsi="Cambria Math"/>
                  <w:color w:val="000000"/>
                  <w:szCs w:val="28"/>
                  <w:lang w:val="en-US"/>
                </w:rPr>
                <m:t>X</m:t>
              </m:r>
            </m:e>
            <m:sub>
              <m:r>
                <m:rPr>
                  <m:sty m:val="bi"/>
                </m:rPr>
                <w:rPr>
                  <w:rFonts w:ascii="Cambria Math" w:hAnsi="Cambria Math"/>
                  <w:color w:val="000000"/>
                  <w:szCs w:val="28"/>
                  <w:lang w:val="en-US"/>
                </w:rPr>
                <m:t>5</m:t>
              </m:r>
            </m:sub>
          </m:sSub>
          <m:r>
            <m:rPr>
              <m:sty m:val="bi"/>
            </m:rPr>
            <w:rPr>
              <w:rFonts w:ascii="Cambria Math" w:hAnsi="Cambria Math"/>
              <w:color w:val="000000"/>
              <w:szCs w:val="28"/>
              <w:lang w:val="en-US"/>
            </w:rPr>
            <m:t>+ε</m:t>
          </m:r>
        </m:oMath>
      </m:oMathPara>
    </w:p>
    <w:p w:rsidR="00B36355" w:rsidRPr="00DF774B" w:rsidRDefault="00B36355" w:rsidP="00B36355">
      <w:pPr>
        <w:spacing w:after="0"/>
        <w:ind w:firstLine="708"/>
        <w:jc w:val="both"/>
        <w:rPr>
          <w:color w:val="000000"/>
          <w:szCs w:val="28"/>
          <w:lang w:val="ru-RU"/>
        </w:rPr>
      </w:pPr>
      <w:r w:rsidRPr="00DF774B">
        <w:rPr>
          <w:color w:val="000000"/>
          <w:szCs w:val="28"/>
          <w:lang w:val="ru-RU"/>
        </w:rPr>
        <w:t>здесь:</w:t>
      </w:r>
    </w:p>
    <w:p w:rsidR="00B36355" w:rsidRPr="00DF774B" w:rsidRDefault="00F50397" w:rsidP="00B36355">
      <w:pPr>
        <w:spacing w:after="0"/>
        <w:ind w:firstLine="708"/>
        <w:jc w:val="both"/>
        <w:rPr>
          <w:color w:val="000000"/>
          <w:szCs w:val="28"/>
          <w:lang w:val="ru-RU"/>
        </w:rPr>
      </w:pPr>
      <m:oMath>
        <m:r>
          <w:rPr>
            <w:rFonts w:ascii="Cambria Math" w:hAnsi="Cambria Math"/>
            <w:color w:val="000000"/>
            <w:szCs w:val="28"/>
            <w:lang w:val="en-US"/>
          </w:rPr>
          <m:t>y</m:t>
        </m:r>
      </m:oMath>
      <w:r w:rsidR="00B36355" w:rsidRPr="00DF774B">
        <w:rPr>
          <w:i/>
          <w:iCs/>
          <w:color w:val="000000"/>
          <w:szCs w:val="28"/>
          <w:lang w:val="ru-RU"/>
        </w:rPr>
        <w:t xml:space="preserve"> </w:t>
      </w:r>
      <w:r w:rsidR="00B36355" w:rsidRPr="00DF774B">
        <w:rPr>
          <w:color w:val="000000"/>
          <w:szCs w:val="28"/>
          <w:lang w:val="ru-RU"/>
        </w:rPr>
        <w:t xml:space="preserve">– результирующий фактор, </w:t>
      </w:r>
      <m:oMath>
        <m:sSub>
          <m:sSubPr>
            <m:ctrlPr>
              <w:rPr>
                <w:rFonts w:ascii="Cambria Math" w:hAnsi="Cambria Math"/>
                <w:i/>
                <w:color w:val="000000"/>
                <w:lang w:val="en-US"/>
              </w:rPr>
            </m:ctrlPr>
          </m:sSubPr>
          <m:e>
            <m:r>
              <w:rPr>
                <w:rFonts w:ascii="Cambria Math" w:hAnsi="Cambria Math"/>
                <w:color w:val="000000"/>
                <w:szCs w:val="28"/>
                <w:lang w:val="en-US"/>
              </w:rPr>
              <m:t>X</m:t>
            </m:r>
          </m:e>
          <m:sub>
            <m:r>
              <w:rPr>
                <w:rFonts w:ascii="Cambria Math" w:hAnsi="Cambria Math"/>
                <w:color w:val="000000"/>
                <w:szCs w:val="28"/>
                <w:lang w:val="en-US"/>
              </w:rPr>
              <m:t>i</m:t>
            </m:r>
          </m:sub>
        </m:sSub>
      </m:oMath>
      <w:r w:rsidR="00B36355" w:rsidRPr="00DF774B">
        <w:rPr>
          <w:color w:val="000000"/>
          <w:szCs w:val="28"/>
          <w:lang w:val="ru-RU"/>
        </w:rPr>
        <w:t xml:space="preserve">– влияющие факторы, </w:t>
      </w:r>
      <m:oMath>
        <m:r>
          <w:rPr>
            <w:rFonts w:ascii="Cambria Math" w:hAnsi="Cambria Math"/>
            <w:color w:val="000000"/>
            <w:szCs w:val="28"/>
            <w:lang w:val="ru-RU"/>
          </w:rPr>
          <m:t xml:space="preserve"> </m:t>
        </m:r>
        <m:r>
          <w:rPr>
            <w:rFonts w:ascii="Cambria Math" w:hAnsi="Cambria Math"/>
            <w:color w:val="000000"/>
            <w:szCs w:val="28"/>
            <w:lang w:val="en-US"/>
          </w:rPr>
          <m:t>ε</m:t>
        </m:r>
      </m:oMath>
      <w:r w:rsidR="00B36355" w:rsidRPr="00DF774B">
        <w:rPr>
          <w:color w:val="000000"/>
          <w:szCs w:val="28"/>
          <w:lang w:val="ru-RU"/>
        </w:rPr>
        <w:t>– случайная ошибка.</w:t>
      </w:r>
    </w:p>
    <w:p w:rsidR="00B36355" w:rsidRDefault="00B36355" w:rsidP="00B36355">
      <w:pPr>
        <w:spacing w:after="0" w:line="360" w:lineRule="auto"/>
        <w:ind w:firstLine="708"/>
        <w:jc w:val="both"/>
        <w:rPr>
          <w:rFonts w:eastAsia="Times New Roman"/>
          <w:szCs w:val="28"/>
          <w:lang w:val="en-US" w:eastAsia="ru-RU"/>
        </w:rPr>
      </w:pPr>
      <w:r w:rsidRPr="00DF774B">
        <w:rPr>
          <w:color w:val="000000"/>
          <w:szCs w:val="28"/>
          <w:vertAlign w:val="subscript"/>
          <w:lang w:val="ru-RU"/>
        </w:rPr>
        <w:t xml:space="preserve">0 </w:t>
      </w:r>
      <w:r w:rsidRPr="00DF774B">
        <w:rPr>
          <w:color w:val="000000"/>
          <w:szCs w:val="28"/>
          <w:lang w:val="ru-RU"/>
        </w:rPr>
        <w:t xml:space="preserve">, </w:t>
      </w:r>
      <w:r w:rsidRPr="009E1503">
        <w:rPr>
          <w:color w:val="000000"/>
          <w:szCs w:val="28"/>
        </w:rPr>
        <w:sym w:font="Symbol" w:char="F062"/>
      </w:r>
      <w:r w:rsidRPr="00DF774B">
        <w:rPr>
          <w:color w:val="000000"/>
          <w:szCs w:val="28"/>
          <w:vertAlign w:val="subscript"/>
          <w:lang w:val="ru-RU"/>
        </w:rPr>
        <w:t xml:space="preserve">1 </w:t>
      </w:r>
      <w:r w:rsidRPr="00DF774B">
        <w:rPr>
          <w:color w:val="000000"/>
          <w:szCs w:val="28"/>
          <w:lang w:val="ru-RU"/>
        </w:rPr>
        <w:t xml:space="preserve">, </w:t>
      </w:r>
      <w:r w:rsidRPr="009E1503">
        <w:rPr>
          <w:color w:val="000000"/>
          <w:szCs w:val="28"/>
        </w:rPr>
        <w:sym w:font="Symbol" w:char="F062"/>
      </w:r>
      <w:r w:rsidRPr="00DF774B">
        <w:rPr>
          <w:color w:val="000000"/>
          <w:szCs w:val="28"/>
          <w:vertAlign w:val="subscript"/>
          <w:lang w:val="ru-RU"/>
        </w:rPr>
        <w:t xml:space="preserve">2 </w:t>
      </w:r>
      <w:r w:rsidRPr="00DF774B">
        <w:rPr>
          <w:color w:val="000000"/>
          <w:szCs w:val="28"/>
          <w:lang w:val="ru-RU"/>
        </w:rPr>
        <w:t xml:space="preserve">, </w:t>
      </w:r>
      <w:r w:rsidRPr="009E1503">
        <w:rPr>
          <w:color w:val="000000"/>
          <w:szCs w:val="28"/>
        </w:rPr>
        <w:sym w:font="Symbol" w:char="F062"/>
      </w:r>
      <w:r w:rsidRPr="00DF774B">
        <w:rPr>
          <w:color w:val="000000"/>
          <w:szCs w:val="28"/>
          <w:vertAlign w:val="subscript"/>
          <w:lang w:val="ru-RU"/>
        </w:rPr>
        <w:t xml:space="preserve">3 </w:t>
      </w:r>
      <w:r w:rsidRPr="00DF774B">
        <w:rPr>
          <w:color w:val="000000"/>
          <w:szCs w:val="28"/>
          <w:lang w:val="ru-RU"/>
        </w:rPr>
        <w:t xml:space="preserve">, </w:t>
      </w:r>
      <w:r w:rsidRPr="009E1503">
        <w:rPr>
          <w:color w:val="000000"/>
          <w:szCs w:val="28"/>
        </w:rPr>
        <w:sym w:font="Symbol" w:char="F062"/>
      </w:r>
      <w:r w:rsidRPr="00DF774B">
        <w:rPr>
          <w:color w:val="000000"/>
          <w:szCs w:val="28"/>
          <w:vertAlign w:val="subscript"/>
          <w:lang w:val="ru-RU"/>
        </w:rPr>
        <w:t xml:space="preserve">4 </w:t>
      </w:r>
      <w:r w:rsidRPr="00DF774B">
        <w:rPr>
          <w:color w:val="000000"/>
          <w:szCs w:val="28"/>
          <w:lang w:val="ru-RU"/>
        </w:rPr>
        <w:t xml:space="preserve">, </w:t>
      </w:r>
      <w:r w:rsidRPr="009E1503">
        <w:rPr>
          <w:color w:val="000000"/>
          <w:szCs w:val="28"/>
        </w:rPr>
        <w:sym w:font="Symbol" w:char="F062"/>
      </w:r>
      <w:r w:rsidRPr="00DF774B">
        <w:rPr>
          <w:color w:val="000000"/>
          <w:szCs w:val="28"/>
          <w:vertAlign w:val="subscript"/>
          <w:lang w:val="ru-RU"/>
        </w:rPr>
        <w:t xml:space="preserve">5 </w:t>
      </w:r>
      <w:r w:rsidRPr="00DF774B">
        <w:rPr>
          <w:color w:val="000000"/>
          <w:szCs w:val="28"/>
          <w:lang w:val="ru-RU"/>
        </w:rPr>
        <w:t xml:space="preserve">в многомерной эконометрической модели </w:t>
      </w:r>
      <w:r w:rsidRPr="009E1503">
        <w:rPr>
          <w:color w:val="000000"/>
          <w:szCs w:val="28"/>
        </w:rPr>
        <w:sym w:font="Symbol" w:char="F062"/>
      </w:r>
      <w:r w:rsidRPr="00DF774B">
        <w:rPr>
          <w:color w:val="000000"/>
          <w:szCs w:val="28"/>
          <w:lang w:val="ru-RU"/>
        </w:rPr>
        <w:t xml:space="preserve">мы использовали метод наименьших квадратов . </w:t>
      </w:r>
      <w:r w:rsidRPr="009E1503">
        <w:rPr>
          <w:color w:val="000000"/>
          <w:szCs w:val="28"/>
          <w:lang w:val="en-US"/>
        </w:rPr>
        <w:t>Результаты представлены в таблице ниже.</w:t>
      </w:r>
    </w:p>
    <w:p w:rsidR="00B36355" w:rsidRDefault="0012517D" w:rsidP="00B36355">
      <w:pPr>
        <w:spacing w:after="0" w:line="360" w:lineRule="auto"/>
        <w:jc w:val="right"/>
        <w:rPr>
          <w:b/>
          <w:bCs/>
          <w:color w:val="000000"/>
          <w:szCs w:val="28"/>
          <w:lang w:val="en-US"/>
        </w:rPr>
      </w:pPr>
      <w:r>
        <w:rPr>
          <w:b/>
          <w:color w:val="242021"/>
          <w:szCs w:val="28"/>
          <w:lang w:val="en-US"/>
        </w:rPr>
        <w:t>Таблица 2.6</w:t>
      </w:r>
    </w:p>
    <w:p w:rsidR="00B36355" w:rsidRPr="00C121B6" w:rsidRDefault="00B36355" w:rsidP="00B36355">
      <w:pPr>
        <w:spacing w:after="0" w:line="360" w:lineRule="auto"/>
        <w:jc w:val="center"/>
        <w:rPr>
          <w:rFonts w:eastAsia="Times New Roman"/>
          <w:szCs w:val="28"/>
          <w:lang w:val="en-US" w:eastAsia="ru-RU"/>
        </w:rPr>
      </w:pPr>
      <w:r w:rsidRPr="008275CF">
        <w:rPr>
          <w:b/>
          <w:bCs/>
          <w:color w:val="000000"/>
          <w:szCs w:val="28"/>
          <w:lang w:val="en-US"/>
        </w:rPr>
        <w:t>Анализ регрессии индикаторов</w:t>
      </w:r>
    </w:p>
    <w:tbl>
      <w:tblPr>
        <w:tblW w:w="0" w:type="auto"/>
        <w:tblLayout w:type="fixed"/>
        <w:tblLook w:val="0000" w:firstRow="0" w:lastRow="0" w:firstColumn="0" w:lastColumn="0" w:noHBand="0" w:noVBand="0"/>
      </w:tblPr>
      <w:tblGrid>
        <w:gridCol w:w="2127"/>
        <w:gridCol w:w="698"/>
        <w:gridCol w:w="502"/>
        <w:gridCol w:w="1200"/>
        <w:gridCol w:w="48"/>
        <w:gridCol w:w="802"/>
        <w:gridCol w:w="900"/>
        <w:gridCol w:w="598"/>
        <w:gridCol w:w="602"/>
        <w:gridCol w:w="1148"/>
        <w:gridCol w:w="52"/>
        <w:gridCol w:w="600"/>
      </w:tblGrid>
      <w:tr w:rsidR="00B36355" w:rsidRPr="00877CC4" w:rsidTr="0012517D">
        <w:tc>
          <w:tcPr>
            <w:tcW w:w="2127" w:type="dxa"/>
            <w:tcBorders>
              <w:top w:val="single" w:sz="4" w:space="0" w:color="auto"/>
              <w:left w:val="nil"/>
              <w:bottom w:val="single" w:sz="8" w:space="0" w:color="auto"/>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Моё сельское хозяйство</w:t>
            </w:r>
          </w:p>
        </w:tc>
        <w:tc>
          <w:tcPr>
            <w:tcW w:w="1200" w:type="dxa"/>
            <w:gridSpan w:val="2"/>
            <w:tcBorders>
              <w:top w:val="single" w:sz="4" w:space="0" w:color="auto"/>
              <w:left w:val="nil"/>
              <w:bottom w:val="single" w:sz="8"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Коэф.</w:t>
            </w:r>
          </w:p>
        </w:tc>
        <w:tc>
          <w:tcPr>
            <w:tcW w:w="1200" w:type="dxa"/>
            <w:tcBorders>
              <w:top w:val="single" w:sz="4" w:space="0" w:color="auto"/>
              <w:left w:val="nil"/>
              <w:bottom w:val="single" w:sz="8"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Св. Эрр.</w:t>
            </w:r>
          </w:p>
        </w:tc>
        <w:tc>
          <w:tcPr>
            <w:tcW w:w="850" w:type="dxa"/>
            <w:gridSpan w:val="2"/>
            <w:tcBorders>
              <w:top w:val="single" w:sz="4" w:space="0" w:color="auto"/>
              <w:left w:val="nil"/>
              <w:bottom w:val="single" w:sz="8"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t-значение</w:t>
            </w:r>
          </w:p>
        </w:tc>
        <w:tc>
          <w:tcPr>
            <w:tcW w:w="900" w:type="dxa"/>
            <w:tcBorders>
              <w:top w:val="single" w:sz="4" w:space="0" w:color="auto"/>
              <w:left w:val="nil"/>
              <w:bottom w:val="single" w:sz="8"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p-значение</w:t>
            </w:r>
          </w:p>
        </w:tc>
        <w:tc>
          <w:tcPr>
            <w:tcW w:w="1200" w:type="dxa"/>
            <w:gridSpan w:val="2"/>
            <w:tcBorders>
              <w:top w:val="single" w:sz="4" w:space="0" w:color="auto"/>
              <w:left w:val="nil"/>
              <w:bottom w:val="single" w:sz="8"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[95% Доверие]</w:t>
            </w:r>
          </w:p>
        </w:tc>
        <w:tc>
          <w:tcPr>
            <w:tcW w:w="1200" w:type="dxa"/>
            <w:gridSpan w:val="2"/>
            <w:tcBorders>
              <w:top w:val="single" w:sz="4" w:space="0" w:color="auto"/>
              <w:left w:val="nil"/>
              <w:bottom w:val="single" w:sz="8"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Интервал]</w:t>
            </w:r>
          </w:p>
        </w:tc>
        <w:tc>
          <w:tcPr>
            <w:tcW w:w="600" w:type="dxa"/>
            <w:tcBorders>
              <w:top w:val="single" w:sz="4" w:space="0" w:color="auto"/>
              <w:left w:val="nil"/>
              <w:bottom w:val="single" w:sz="8" w:space="0" w:color="auto"/>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Сиг</w:t>
            </w:r>
          </w:p>
        </w:tc>
      </w:tr>
      <w:tr w:rsidR="00B36355" w:rsidRPr="00877CC4" w:rsidTr="0012517D">
        <w:tc>
          <w:tcPr>
            <w:tcW w:w="2127"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lnФиксированный капитал~d</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.235</w:t>
            </w:r>
          </w:p>
        </w:tc>
        <w:tc>
          <w:tcPr>
            <w:tcW w:w="12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.084</w:t>
            </w:r>
          </w:p>
        </w:tc>
        <w:tc>
          <w:tcPr>
            <w:tcW w:w="85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2.81</w:t>
            </w:r>
          </w:p>
        </w:tc>
        <w:tc>
          <w:tcPr>
            <w:tcW w:w="9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.023</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.042</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.429</w:t>
            </w:r>
          </w:p>
        </w:tc>
        <w:tc>
          <w:tcPr>
            <w:tcW w:w="6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w:t>
            </w:r>
          </w:p>
        </w:tc>
      </w:tr>
      <w:tr w:rsidR="00B36355" w:rsidRPr="00877CC4" w:rsidTr="0012517D">
        <w:tc>
          <w:tcPr>
            <w:tcW w:w="2127"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lnФиксированный капитал~n</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.506</w:t>
            </w:r>
          </w:p>
        </w:tc>
        <w:tc>
          <w:tcPr>
            <w:tcW w:w="12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.097</w:t>
            </w:r>
          </w:p>
        </w:tc>
        <w:tc>
          <w:tcPr>
            <w:tcW w:w="85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5.20</w:t>
            </w:r>
          </w:p>
        </w:tc>
        <w:tc>
          <w:tcPr>
            <w:tcW w:w="9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.001</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.282</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.731</w:t>
            </w:r>
          </w:p>
        </w:tc>
        <w:tc>
          <w:tcPr>
            <w:tcW w:w="6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w:t>
            </w:r>
          </w:p>
        </w:tc>
      </w:tr>
      <w:tr w:rsidR="00B36355" w:rsidRPr="00877CC4" w:rsidTr="0012517D">
        <w:tc>
          <w:tcPr>
            <w:tcW w:w="2127"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lnAgricultureg~x</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-.245</w:t>
            </w:r>
          </w:p>
        </w:tc>
        <w:tc>
          <w:tcPr>
            <w:tcW w:w="12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.083</w:t>
            </w:r>
          </w:p>
        </w:tc>
        <w:tc>
          <w:tcPr>
            <w:tcW w:w="85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-2.94</w:t>
            </w:r>
          </w:p>
        </w:tc>
        <w:tc>
          <w:tcPr>
            <w:tcW w:w="9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.019</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-.437</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-.053</w:t>
            </w:r>
          </w:p>
        </w:tc>
        <w:tc>
          <w:tcPr>
            <w:tcW w:w="6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w:t>
            </w:r>
          </w:p>
        </w:tc>
      </w:tr>
      <w:tr w:rsidR="00B36355" w:rsidRPr="00877CC4" w:rsidTr="0012517D">
        <w:tc>
          <w:tcPr>
            <w:tcW w:w="2127"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Сельское хозяйство</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.409</w:t>
            </w:r>
          </w:p>
        </w:tc>
        <w:tc>
          <w:tcPr>
            <w:tcW w:w="12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.191</w:t>
            </w:r>
          </w:p>
        </w:tc>
        <w:tc>
          <w:tcPr>
            <w:tcW w:w="85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2.15</w:t>
            </w:r>
          </w:p>
        </w:tc>
        <w:tc>
          <w:tcPr>
            <w:tcW w:w="9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.064</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-.03</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.849</w:t>
            </w:r>
          </w:p>
        </w:tc>
        <w:tc>
          <w:tcPr>
            <w:tcW w:w="6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w:t>
            </w:r>
          </w:p>
        </w:tc>
      </w:tr>
      <w:tr w:rsidR="00B36355" w:rsidRPr="00877CC4" w:rsidTr="0012517D">
        <w:tc>
          <w:tcPr>
            <w:tcW w:w="2127" w:type="dxa"/>
            <w:tcBorders>
              <w:top w:val="nil"/>
              <w:left w:val="nil"/>
              <w:bottom w:val="nil"/>
              <w:right w:val="nil"/>
            </w:tcBorders>
          </w:tcPr>
          <w:p w:rsidR="00B36355" w:rsidRPr="00DF774B" w:rsidRDefault="00B36355" w:rsidP="0012517D">
            <w:pPr>
              <w:widowControl w:val="0"/>
              <w:autoSpaceDE w:val="0"/>
              <w:autoSpaceDN w:val="0"/>
              <w:adjustRightInd w:val="0"/>
              <w:spacing w:after="0"/>
              <w:rPr>
                <w:sz w:val="20"/>
                <w:szCs w:val="20"/>
                <w:lang w:val="ru-RU"/>
              </w:rPr>
            </w:pPr>
            <w:r w:rsidRPr="00DF774B">
              <w:rPr>
                <w:sz w:val="20"/>
                <w:szCs w:val="20"/>
                <w:lang w:val="ru-RU"/>
              </w:rPr>
              <w:t>в сельском хозяйстве и на основе водных ресурсов</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-.04</w:t>
            </w:r>
          </w:p>
        </w:tc>
        <w:tc>
          <w:tcPr>
            <w:tcW w:w="12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.116</w:t>
            </w:r>
          </w:p>
        </w:tc>
        <w:tc>
          <w:tcPr>
            <w:tcW w:w="85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-0.34</w:t>
            </w:r>
          </w:p>
        </w:tc>
        <w:tc>
          <w:tcPr>
            <w:tcW w:w="9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.74</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-.307</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.227</w:t>
            </w:r>
          </w:p>
        </w:tc>
        <w:tc>
          <w:tcPr>
            <w:tcW w:w="6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p>
        </w:tc>
      </w:tr>
      <w:tr w:rsidR="00B36355" w:rsidRPr="00877CC4" w:rsidTr="0012517D">
        <w:tc>
          <w:tcPr>
            <w:tcW w:w="2127"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СПГ</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-.335</w:t>
            </w:r>
          </w:p>
        </w:tc>
        <w:tc>
          <w:tcPr>
            <w:tcW w:w="12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.531</w:t>
            </w:r>
          </w:p>
        </w:tc>
        <w:tc>
          <w:tcPr>
            <w:tcW w:w="85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-0.63</w:t>
            </w:r>
          </w:p>
        </w:tc>
        <w:tc>
          <w:tcPr>
            <w:tcW w:w="9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.545</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-1.56</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.889</w:t>
            </w:r>
          </w:p>
        </w:tc>
        <w:tc>
          <w:tcPr>
            <w:tcW w:w="6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p>
        </w:tc>
      </w:tr>
      <w:tr w:rsidR="00B36355" w:rsidRPr="00877CC4" w:rsidTr="0012517D">
        <w:tc>
          <w:tcPr>
            <w:tcW w:w="2127" w:type="dxa"/>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Постоянный</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1.92</w:t>
            </w:r>
          </w:p>
        </w:tc>
        <w:tc>
          <w:tcPr>
            <w:tcW w:w="12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1.492</w:t>
            </w:r>
          </w:p>
        </w:tc>
        <w:tc>
          <w:tcPr>
            <w:tcW w:w="85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1.29</w:t>
            </w:r>
          </w:p>
        </w:tc>
        <w:tc>
          <w:tcPr>
            <w:tcW w:w="9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.234</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-1.521</w:t>
            </w:r>
          </w:p>
        </w:tc>
        <w:tc>
          <w:tcPr>
            <w:tcW w:w="120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5.361</w:t>
            </w:r>
          </w:p>
        </w:tc>
        <w:tc>
          <w:tcPr>
            <w:tcW w:w="600" w:type="dxa"/>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p>
        </w:tc>
      </w:tr>
      <w:tr w:rsidR="00B36355" w:rsidRPr="00877CC4" w:rsidTr="0012517D">
        <w:tc>
          <w:tcPr>
            <w:tcW w:w="9277" w:type="dxa"/>
            <w:gridSpan w:val="12"/>
            <w:tcBorders>
              <w:top w:val="nil"/>
              <w:left w:val="nil"/>
              <w:bottom w:val="single" w:sz="4" w:space="0" w:color="auto"/>
              <w:right w:val="nil"/>
            </w:tcBorders>
          </w:tcPr>
          <w:p w:rsidR="00B36355" w:rsidRPr="00877CC4" w:rsidRDefault="00B36355" w:rsidP="0012517D">
            <w:pPr>
              <w:widowControl w:val="0"/>
              <w:autoSpaceDE w:val="0"/>
              <w:autoSpaceDN w:val="0"/>
              <w:adjustRightInd w:val="0"/>
              <w:spacing w:after="0"/>
              <w:rPr>
                <w:sz w:val="20"/>
                <w:szCs w:val="20"/>
                <w:lang w:val="en-US"/>
              </w:rPr>
            </w:pPr>
          </w:p>
        </w:tc>
      </w:tr>
      <w:tr w:rsidR="00B36355" w:rsidRPr="00877CC4" w:rsidTr="0012517D">
        <w:trPr>
          <w:gridAfter w:val="2"/>
          <w:wAfter w:w="652" w:type="dxa"/>
        </w:trPr>
        <w:tc>
          <w:tcPr>
            <w:tcW w:w="2825"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Средняя зависимая переменная</w:t>
            </w:r>
          </w:p>
        </w:tc>
        <w:tc>
          <w:tcPr>
            <w:tcW w:w="1750" w:type="dxa"/>
            <w:gridSpan w:val="3"/>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4.934</w:t>
            </w:r>
          </w:p>
        </w:tc>
        <w:tc>
          <w:tcPr>
            <w:tcW w:w="2300" w:type="dxa"/>
            <w:gridSpan w:val="3"/>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SD зависимая переменная</w:t>
            </w:r>
          </w:p>
        </w:tc>
        <w:tc>
          <w:tcPr>
            <w:tcW w:w="175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0,841</w:t>
            </w:r>
          </w:p>
        </w:tc>
      </w:tr>
      <w:tr w:rsidR="00B36355" w:rsidRPr="00877CC4" w:rsidTr="0012517D">
        <w:trPr>
          <w:gridAfter w:val="2"/>
          <w:wAfter w:w="652" w:type="dxa"/>
        </w:trPr>
        <w:tc>
          <w:tcPr>
            <w:tcW w:w="2825"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R-квадрат</w:t>
            </w:r>
          </w:p>
        </w:tc>
        <w:tc>
          <w:tcPr>
            <w:tcW w:w="1750" w:type="dxa"/>
            <w:gridSpan w:val="3"/>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0,986</w:t>
            </w:r>
          </w:p>
        </w:tc>
        <w:tc>
          <w:tcPr>
            <w:tcW w:w="2300" w:type="dxa"/>
            <w:gridSpan w:val="3"/>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Количество наблюдений</w:t>
            </w:r>
          </w:p>
        </w:tc>
        <w:tc>
          <w:tcPr>
            <w:tcW w:w="175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15</w:t>
            </w:r>
          </w:p>
        </w:tc>
      </w:tr>
      <w:tr w:rsidR="00B36355" w:rsidRPr="00877CC4" w:rsidTr="0012517D">
        <w:trPr>
          <w:gridAfter w:val="2"/>
          <w:wAfter w:w="652" w:type="dxa"/>
        </w:trPr>
        <w:tc>
          <w:tcPr>
            <w:tcW w:w="2825"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F-тест</w:t>
            </w:r>
          </w:p>
        </w:tc>
        <w:tc>
          <w:tcPr>
            <w:tcW w:w="1750" w:type="dxa"/>
            <w:gridSpan w:val="3"/>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96,972</w:t>
            </w:r>
          </w:p>
        </w:tc>
        <w:tc>
          <w:tcPr>
            <w:tcW w:w="2300" w:type="dxa"/>
            <w:gridSpan w:val="3"/>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Зонд &gt; F</w:t>
            </w:r>
          </w:p>
        </w:tc>
        <w:tc>
          <w:tcPr>
            <w:tcW w:w="175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0.000</w:t>
            </w:r>
          </w:p>
        </w:tc>
      </w:tr>
      <w:tr w:rsidR="00B36355" w:rsidRPr="00877CC4" w:rsidTr="0012517D">
        <w:trPr>
          <w:gridAfter w:val="2"/>
          <w:wAfter w:w="652" w:type="dxa"/>
        </w:trPr>
        <w:tc>
          <w:tcPr>
            <w:tcW w:w="2825"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Критика Акаике (AIC)</w:t>
            </w:r>
          </w:p>
        </w:tc>
        <w:tc>
          <w:tcPr>
            <w:tcW w:w="1750" w:type="dxa"/>
            <w:gridSpan w:val="3"/>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-14.161</w:t>
            </w:r>
          </w:p>
        </w:tc>
        <w:tc>
          <w:tcPr>
            <w:tcW w:w="2300" w:type="dxa"/>
            <w:gridSpan w:val="3"/>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sz w:val="20"/>
                <w:szCs w:val="20"/>
                <w:lang w:val="en-US"/>
              </w:rPr>
              <w:t>Байесовский критерий (BIC)</w:t>
            </w:r>
          </w:p>
        </w:tc>
        <w:tc>
          <w:tcPr>
            <w:tcW w:w="1750" w:type="dxa"/>
            <w:gridSpan w:val="2"/>
            <w:tcBorders>
              <w:top w:val="nil"/>
              <w:left w:val="nil"/>
              <w:bottom w:val="nil"/>
              <w:right w:val="nil"/>
            </w:tcBorders>
          </w:tcPr>
          <w:p w:rsidR="00B36355" w:rsidRPr="00877CC4" w:rsidRDefault="00B36355" w:rsidP="0012517D">
            <w:pPr>
              <w:widowControl w:val="0"/>
              <w:autoSpaceDE w:val="0"/>
              <w:autoSpaceDN w:val="0"/>
              <w:adjustRightInd w:val="0"/>
              <w:spacing w:after="0"/>
              <w:jc w:val="right"/>
              <w:rPr>
                <w:sz w:val="20"/>
                <w:szCs w:val="20"/>
                <w:lang w:val="en-US"/>
              </w:rPr>
            </w:pPr>
            <w:r w:rsidRPr="00877CC4">
              <w:rPr>
                <w:sz w:val="20"/>
                <w:szCs w:val="20"/>
                <w:lang w:val="en-US"/>
              </w:rPr>
              <w:t>-9.205</w:t>
            </w:r>
          </w:p>
        </w:tc>
      </w:tr>
      <w:tr w:rsidR="00B36355" w:rsidRPr="00877CC4" w:rsidTr="0012517D">
        <w:tc>
          <w:tcPr>
            <w:tcW w:w="9277" w:type="dxa"/>
            <w:gridSpan w:val="12"/>
            <w:tcBorders>
              <w:top w:val="single" w:sz="6" w:space="0" w:color="auto"/>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r w:rsidRPr="00877CC4">
              <w:rPr>
                <w:i/>
                <w:iCs/>
                <w:sz w:val="20"/>
                <w:szCs w:val="20"/>
                <w:lang w:val="en-US"/>
              </w:rPr>
              <w:t>*** p&lt;.01, ** p&lt;.05, * p&lt;.1</w:t>
            </w:r>
          </w:p>
        </w:tc>
      </w:tr>
      <w:tr w:rsidR="00B36355" w:rsidRPr="00877CC4" w:rsidTr="0012517D">
        <w:tc>
          <w:tcPr>
            <w:tcW w:w="9277" w:type="dxa"/>
            <w:gridSpan w:val="12"/>
            <w:tcBorders>
              <w:top w:val="nil"/>
              <w:left w:val="nil"/>
              <w:bottom w:val="nil"/>
              <w:right w:val="nil"/>
            </w:tcBorders>
          </w:tcPr>
          <w:p w:rsidR="00B36355" w:rsidRPr="00877CC4" w:rsidRDefault="00B36355" w:rsidP="0012517D">
            <w:pPr>
              <w:widowControl w:val="0"/>
              <w:autoSpaceDE w:val="0"/>
              <w:autoSpaceDN w:val="0"/>
              <w:adjustRightInd w:val="0"/>
              <w:spacing w:after="0"/>
              <w:rPr>
                <w:sz w:val="20"/>
                <w:szCs w:val="20"/>
                <w:lang w:val="en-US"/>
              </w:rPr>
            </w:pPr>
          </w:p>
        </w:tc>
      </w:tr>
    </w:tbl>
    <w:p w:rsidR="00B36355" w:rsidRPr="00B36355" w:rsidRDefault="00B36355" w:rsidP="00B36355">
      <w:pPr>
        <w:spacing w:after="0" w:line="360" w:lineRule="auto"/>
        <w:ind w:firstLine="709"/>
        <w:jc w:val="both"/>
        <w:rPr>
          <w:rFonts w:eastAsia="Times New Roman"/>
          <w:szCs w:val="28"/>
          <w:lang w:eastAsia="ru-RU"/>
        </w:rPr>
      </w:pPr>
      <w:r w:rsidRPr="00DF774B">
        <w:rPr>
          <w:rFonts w:eastAsia="Times New Roman"/>
          <w:szCs w:val="28"/>
          <w:lang w:val="ru-RU" w:eastAsia="ru-RU"/>
        </w:rPr>
        <w:lastRenderedPageBreak/>
        <w:t>Выше</w:t>
      </w:r>
      <w:r w:rsidRPr="00B36355">
        <w:rPr>
          <w:rFonts w:eastAsia="Times New Roman"/>
          <w:szCs w:val="28"/>
          <w:lang w:eastAsia="ru-RU"/>
        </w:rPr>
        <w:t xml:space="preserve"> </w:t>
      </w:r>
      <w:r w:rsidRPr="00DF774B">
        <w:rPr>
          <w:rFonts w:eastAsia="Times New Roman"/>
          <w:szCs w:val="28"/>
          <w:lang w:val="ru-RU" w:eastAsia="ru-RU"/>
        </w:rPr>
        <w:t>стол</w:t>
      </w:r>
      <w:r w:rsidRPr="00B36355">
        <w:rPr>
          <w:rFonts w:eastAsia="Times New Roman"/>
          <w:szCs w:val="28"/>
          <w:lang w:eastAsia="ru-RU"/>
        </w:rPr>
        <w:t xml:space="preserve"> </w:t>
      </w:r>
      <w:r w:rsidRPr="00DF774B">
        <w:rPr>
          <w:rFonts w:eastAsia="Times New Roman"/>
          <w:szCs w:val="28"/>
          <w:lang w:val="ru-RU" w:eastAsia="ru-RU"/>
        </w:rPr>
        <w:t xml:space="preserve">на </w:t>
      </w:r>
      <w:r w:rsidRPr="00B36355">
        <w:rPr>
          <w:rFonts w:eastAsia="Times New Roman"/>
          <w:szCs w:val="28"/>
          <w:lang w:eastAsia="ru-RU"/>
        </w:rPr>
        <w:t xml:space="preserve">основе </w:t>
      </w:r>
      <w:r w:rsidRPr="00DF774B">
        <w:rPr>
          <w:rFonts w:eastAsia="Times New Roman"/>
          <w:szCs w:val="28"/>
          <w:lang w:val="ru-RU" w:eastAsia="ru-RU"/>
        </w:rPr>
        <w:t>данных</w:t>
      </w:r>
      <w:r w:rsidRPr="00B36355">
        <w:rPr>
          <w:rFonts w:eastAsia="Times New Roman"/>
          <w:szCs w:val="28"/>
          <w:lang w:eastAsia="ru-RU"/>
        </w:rPr>
        <w:t xml:space="preserve"> </w:t>
      </w:r>
      <w:r w:rsidRPr="00DF774B">
        <w:rPr>
          <w:rFonts w:eastAsia="Times New Roman"/>
          <w:szCs w:val="28"/>
          <w:lang w:val="ru-RU" w:eastAsia="ru-RU"/>
        </w:rPr>
        <w:t xml:space="preserve">используя </w:t>
      </w:r>
      <w:r w:rsidRPr="00B36355">
        <w:rPr>
          <w:rFonts w:eastAsia="Times New Roman"/>
          <w:szCs w:val="28"/>
          <w:lang w:eastAsia="ru-RU"/>
        </w:rPr>
        <w:t xml:space="preserve">, </w:t>
      </w:r>
      <w:r w:rsidRPr="00DF774B">
        <w:rPr>
          <w:rFonts w:eastAsia="Times New Roman"/>
          <w:szCs w:val="28"/>
          <w:lang w:val="ru-RU" w:eastAsia="ru-RU"/>
        </w:rPr>
        <w:t>деревня</w:t>
      </w:r>
      <w:r w:rsidRPr="00B36355">
        <w:rPr>
          <w:rFonts w:eastAsia="Times New Roman"/>
          <w:szCs w:val="28"/>
          <w:lang w:eastAsia="ru-RU"/>
        </w:rPr>
        <w:t xml:space="preserve"> </w:t>
      </w:r>
      <w:r w:rsidRPr="00DF774B">
        <w:rPr>
          <w:rFonts w:eastAsia="Times New Roman"/>
          <w:szCs w:val="28"/>
          <w:lang w:val="ru-RU" w:eastAsia="ru-RU"/>
        </w:rPr>
        <w:t>ферма</w:t>
      </w:r>
      <w:r w:rsidRPr="00B36355">
        <w:rPr>
          <w:rFonts w:eastAsia="Times New Roman"/>
          <w:szCs w:val="28"/>
          <w:lang w:eastAsia="ru-RU"/>
        </w:rPr>
        <w:t xml:space="preserve"> </w:t>
      </w:r>
      <w:r w:rsidRPr="00DF774B">
        <w:rPr>
          <w:rFonts w:eastAsia="Times New Roman"/>
          <w:szCs w:val="28"/>
          <w:lang w:val="ru-RU" w:eastAsia="ru-RU"/>
        </w:rPr>
        <w:t>продукты</w:t>
      </w:r>
      <w:r w:rsidRPr="00B36355">
        <w:rPr>
          <w:rFonts w:eastAsia="Times New Roman"/>
          <w:szCs w:val="28"/>
          <w:lang w:eastAsia="ru-RU"/>
        </w:rPr>
        <w:t xml:space="preserve"> </w:t>
      </w:r>
      <w:r w:rsidRPr="00DF774B">
        <w:rPr>
          <w:rFonts w:eastAsia="Times New Roman"/>
          <w:szCs w:val="28"/>
          <w:lang w:val="ru-RU" w:eastAsia="ru-RU"/>
        </w:rPr>
        <w:t>размер</w:t>
      </w:r>
      <w:r w:rsidRPr="00B36355">
        <w:rPr>
          <w:rFonts w:eastAsia="Times New Roman"/>
          <w:szCs w:val="28"/>
          <w:lang w:eastAsia="ru-RU"/>
        </w:rPr>
        <w:t xml:space="preserve"> по </w:t>
      </w:r>
      <w:r w:rsidRPr="00DF774B">
        <w:rPr>
          <w:rFonts w:eastAsia="Times New Roman"/>
          <w:szCs w:val="28"/>
          <w:lang w:val="ru-RU" w:eastAsia="ru-RU"/>
        </w:rPr>
        <w:t xml:space="preserve">индикатору </w:t>
      </w:r>
      <w:r w:rsidRPr="00B36355">
        <w:rPr>
          <w:rFonts w:eastAsia="Times New Roman"/>
          <w:szCs w:val="28"/>
          <w:lang w:eastAsia="ru-RU"/>
        </w:rPr>
        <w:t xml:space="preserve">( </w:t>
      </w:r>
      <w:r w:rsidRPr="009D187B">
        <w:rPr>
          <w:rFonts w:eastAsia="Times New Roman"/>
          <w:i/>
          <w:iCs/>
          <w:szCs w:val="28"/>
          <w:lang w:val="en-US" w:eastAsia="ru-RU"/>
        </w:rPr>
        <w:t>Y</w:t>
      </w:r>
      <w:r w:rsidRPr="00DF774B">
        <w:rPr>
          <w:rFonts w:eastAsia="Times New Roman"/>
          <w:i/>
          <w:iCs/>
          <w:szCs w:val="28"/>
          <w:lang w:val="ru-RU" w:eastAsia="ru-RU"/>
        </w:rPr>
        <w:t xml:space="preserve"> </w:t>
      </w:r>
      <w:r w:rsidRPr="00DF774B">
        <w:rPr>
          <w:rFonts w:eastAsia="Times New Roman"/>
          <w:szCs w:val="28"/>
          <w:lang w:val="ru-RU" w:eastAsia="ru-RU"/>
        </w:rPr>
        <w:t>)</w:t>
      </w:r>
      <w:r w:rsidRPr="00B36355">
        <w:rPr>
          <w:rFonts w:eastAsia="Times New Roman"/>
          <w:szCs w:val="28"/>
          <w:lang w:eastAsia="ru-RU"/>
        </w:rPr>
        <w:t xml:space="preserve"> </w:t>
      </w:r>
      <w:r w:rsidRPr="00DF774B">
        <w:rPr>
          <w:rFonts w:eastAsia="Times New Roman"/>
          <w:szCs w:val="28"/>
          <w:lang w:val="ru-RU" w:eastAsia="ru-RU"/>
        </w:rPr>
        <w:t>рассчитано</w:t>
      </w:r>
      <w:r w:rsidRPr="00B36355">
        <w:rPr>
          <w:rFonts w:eastAsia="Times New Roman"/>
          <w:szCs w:val="28"/>
          <w:lang w:eastAsia="ru-RU"/>
        </w:rPr>
        <w:t xml:space="preserve"> </w:t>
      </w:r>
      <w:r w:rsidRPr="00DF774B">
        <w:rPr>
          <w:rFonts w:eastAsia="Times New Roman"/>
          <w:szCs w:val="28"/>
          <w:lang w:val="ru-RU" w:eastAsia="ru-RU"/>
        </w:rPr>
        <w:t>многие</w:t>
      </w:r>
      <w:r w:rsidRPr="00B36355">
        <w:rPr>
          <w:rFonts w:eastAsia="Times New Roman"/>
          <w:szCs w:val="28"/>
          <w:lang w:eastAsia="ru-RU"/>
        </w:rPr>
        <w:t xml:space="preserve"> </w:t>
      </w:r>
      <w:r w:rsidRPr="00DF774B">
        <w:rPr>
          <w:rFonts w:eastAsia="Times New Roman"/>
          <w:szCs w:val="28"/>
          <w:lang w:val="ru-RU" w:eastAsia="ru-RU"/>
        </w:rPr>
        <w:t>факториал</w:t>
      </w:r>
      <w:r w:rsidRPr="00B36355">
        <w:rPr>
          <w:rFonts w:eastAsia="Times New Roman"/>
          <w:szCs w:val="28"/>
          <w:lang w:eastAsia="ru-RU"/>
        </w:rPr>
        <w:t xml:space="preserve"> </w:t>
      </w:r>
      <w:r w:rsidRPr="00DF774B">
        <w:rPr>
          <w:rFonts w:eastAsia="Times New Roman"/>
          <w:szCs w:val="28"/>
          <w:lang w:val="ru-RU" w:eastAsia="ru-RU"/>
        </w:rPr>
        <w:t>эконометрический</w:t>
      </w:r>
      <w:r w:rsidRPr="00B36355">
        <w:rPr>
          <w:rFonts w:eastAsia="Times New Roman"/>
          <w:szCs w:val="28"/>
          <w:lang w:eastAsia="ru-RU"/>
        </w:rPr>
        <w:t xml:space="preserve"> </w:t>
      </w:r>
      <w:r w:rsidRPr="00DF774B">
        <w:rPr>
          <w:rFonts w:eastAsia="Times New Roman"/>
          <w:szCs w:val="28"/>
          <w:lang w:val="ru-RU" w:eastAsia="ru-RU"/>
        </w:rPr>
        <w:t>модель</w:t>
      </w:r>
      <w:r w:rsidRPr="00B36355">
        <w:rPr>
          <w:rFonts w:eastAsia="Times New Roman"/>
          <w:szCs w:val="28"/>
          <w:lang w:eastAsia="ru-RU"/>
        </w:rPr>
        <w:t xml:space="preserve"> </w:t>
      </w:r>
      <w:r w:rsidRPr="00DF774B">
        <w:rPr>
          <w:rFonts w:eastAsia="Times New Roman"/>
          <w:szCs w:val="28"/>
          <w:lang w:val="ru-RU" w:eastAsia="ru-RU"/>
        </w:rPr>
        <w:t>аналитический</w:t>
      </w:r>
      <w:r w:rsidRPr="00B36355">
        <w:rPr>
          <w:rFonts w:eastAsia="Times New Roman"/>
          <w:szCs w:val="28"/>
          <w:lang w:eastAsia="ru-RU"/>
        </w:rPr>
        <w:t xml:space="preserve"> </w:t>
      </w:r>
      <w:r w:rsidRPr="00DF774B">
        <w:rPr>
          <w:rFonts w:eastAsia="Times New Roman"/>
          <w:szCs w:val="28"/>
          <w:lang w:val="ru-RU" w:eastAsia="ru-RU"/>
        </w:rPr>
        <w:t>по-видимому</w:t>
      </w:r>
      <w:r w:rsidRPr="00B36355">
        <w:rPr>
          <w:rFonts w:eastAsia="Times New Roman"/>
          <w:szCs w:val="28"/>
          <w:lang w:eastAsia="ru-RU"/>
        </w:rPr>
        <w:t xml:space="preserve"> </w:t>
      </w:r>
      <w:r w:rsidRPr="00DF774B">
        <w:rPr>
          <w:rFonts w:eastAsia="Times New Roman"/>
          <w:szCs w:val="28"/>
          <w:lang w:val="ru-RU" w:eastAsia="ru-RU"/>
        </w:rPr>
        <w:t>следующее</w:t>
      </w:r>
      <w:r w:rsidRPr="00B36355">
        <w:rPr>
          <w:rFonts w:eastAsia="Times New Roman"/>
          <w:szCs w:val="28"/>
          <w:lang w:eastAsia="ru-RU"/>
        </w:rPr>
        <w:t xml:space="preserve"> </w:t>
      </w:r>
      <w:r w:rsidRPr="00DF774B">
        <w:rPr>
          <w:rFonts w:eastAsia="Times New Roman"/>
          <w:szCs w:val="28"/>
          <w:lang w:val="ru-RU" w:eastAsia="ru-RU"/>
        </w:rPr>
        <w:t xml:space="preserve">мы выражаем </w:t>
      </w:r>
      <w:r w:rsidRPr="00B36355">
        <w:rPr>
          <w:rFonts w:eastAsia="Times New Roman"/>
          <w:szCs w:val="28"/>
          <w:lang w:eastAsia="ru-RU"/>
        </w:rPr>
        <w:t>:</w:t>
      </w:r>
    </w:p>
    <w:p w:rsidR="00B36355" w:rsidRPr="00F50397" w:rsidRDefault="00450040" w:rsidP="00B36355">
      <w:pPr>
        <w:spacing w:after="0" w:line="360" w:lineRule="auto"/>
        <w:jc w:val="both"/>
        <w:rPr>
          <w:rFonts w:eastAsia="Times New Roman"/>
          <w:b/>
          <w:sz w:val="18"/>
          <w:szCs w:val="28"/>
          <w:lang w:val="en-US" w:eastAsia="ru-RU"/>
        </w:rPr>
      </w:pPr>
      <m:oMathPara>
        <m:oMath>
          <m:acc>
            <m:accPr>
              <m:ctrlPr>
                <w:rPr>
                  <w:rFonts w:ascii="Cambria Math" w:eastAsia="Times New Roman" w:hAnsi="Cambria Math"/>
                  <w:b/>
                  <w:i/>
                  <w:szCs w:val="28"/>
                  <w:lang w:val="en-US" w:eastAsia="ru-RU"/>
                </w:rPr>
              </m:ctrlPr>
            </m:accPr>
            <m:e>
              <m:r>
                <m:rPr>
                  <m:sty m:val="bi"/>
                </m:rPr>
                <w:rPr>
                  <w:rFonts w:ascii="Cambria Math" w:eastAsia="Times New Roman" w:hAnsi="Cambria Math"/>
                  <w:szCs w:val="28"/>
                  <w:lang w:val="en-US" w:eastAsia="ru-RU"/>
                </w:rPr>
                <m:t>Y</m:t>
              </m:r>
            </m:e>
          </m:acc>
          <m:r>
            <m:rPr>
              <m:sty m:val="bi"/>
            </m:rPr>
            <w:rPr>
              <w:rFonts w:ascii="Cambria Math" w:eastAsia="Times New Roman" w:hAnsi="Cambria Math"/>
              <w:szCs w:val="28"/>
              <w:lang w:val="en-US" w:eastAsia="ru-RU"/>
            </w:rPr>
            <m:t>=0.235</m:t>
          </m:r>
          <m:sSub>
            <m:sSubPr>
              <m:ctrlPr>
                <w:rPr>
                  <w:rFonts w:ascii="Cambria Math" w:eastAsia="Times New Roman" w:hAnsi="Cambria Math"/>
                  <w:b/>
                  <w:i/>
                  <w:szCs w:val="28"/>
                  <w:lang w:val="en-US" w:eastAsia="ru-RU"/>
                </w:rPr>
              </m:ctrlPr>
            </m:sSubPr>
            <m:e>
              <m:r>
                <m:rPr>
                  <m:sty m:val="bi"/>
                </m:rPr>
                <w:rPr>
                  <w:rFonts w:ascii="Cambria Math" w:eastAsia="Times New Roman" w:hAnsi="Cambria Math"/>
                  <w:szCs w:val="28"/>
                  <w:lang w:val="en-US" w:eastAsia="ru-RU"/>
                </w:rPr>
                <m:t>X</m:t>
              </m:r>
            </m:e>
            <m:sub>
              <m:r>
                <m:rPr>
                  <m:sty m:val="bi"/>
                </m:rPr>
                <w:rPr>
                  <w:rFonts w:ascii="Cambria Math" w:eastAsia="Times New Roman" w:hAnsi="Cambria Math"/>
                  <w:szCs w:val="28"/>
                  <w:lang w:val="en-US" w:eastAsia="ru-RU"/>
                </w:rPr>
                <m:t>1</m:t>
              </m:r>
            </m:sub>
          </m:sSub>
          <m:r>
            <m:rPr>
              <m:sty m:val="bi"/>
            </m:rPr>
            <w:rPr>
              <w:rFonts w:ascii="Cambria Math" w:eastAsia="Times New Roman" w:hAnsi="Cambria Math"/>
              <w:szCs w:val="28"/>
              <w:lang w:val="en-US" w:eastAsia="ru-RU"/>
            </w:rPr>
            <m:t>+0.506</m:t>
          </m:r>
          <m:sSub>
            <m:sSubPr>
              <m:ctrlPr>
                <w:rPr>
                  <w:rFonts w:ascii="Cambria Math" w:eastAsia="Times New Roman" w:hAnsi="Cambria Math"/>
                  <w:b/>
                  <w:i/>
                  <w:szCs w:val="28"/>
                  <w:lang w:val="en-US" w:eastAsia="ru-RU"/>
                </w:rPr>
              </m:ctrlPr>
            </m:sSubPr>
            <m:e>
              <m:r>
                <m:rPr>
                  <m:sty m:val="bi"/>
                </m:rPr>
                <w:rPr>
                  <w:rFonts w:ascii="Cambria Math" w:eastAsia="Times New Roman" w:hAnsi="Cambria Math"/>
                  <w:szCs w:val="28"/>
                  <w:lang w:val="en-US" w:eastAsia="ru-RU"/>
                </w:rPr>
                <m:t>X</m:t>
              </m:r>
            </m:e>
            <m:sub>
              <m:r>
                <m:rPr>
                  <m:sty m:val="bi"/>
                </m:rPr>
                <w:rPr>
                  <w:rFonts w:ascii="Cambria Math" w:eastAsia="Times New Roman" w:hAnsi="Cambria Math"/>
                  <w:szCs w:val="28"/>
                  <w:lang w:val="en-US" w:eastAsia="ru-RU"/>
                </w:rPr>
                <m:t>2</m:t>
              </m:r>
            </m:sub>
          </m:sSub>
          <m:r>
            <m:rPr>
              <m:sty m:val="bi"/>
            </m:rPr>
            <w:rPr>
              <w:rFonts w:ascii="Cambria Math" w:eastAsia="Times New Roman" w:hAnsi="Cambria Math"/>
              <w:szCs w:val="28"/>
              <w:lang w:val="en-US" w:eastAsia="ru-RU"/>
            </w:rPr>
            <m:t>- 0.245</m:t>
          </m:r>
          <m:sSub>
            <m:sSubPr>
              <m:ctrlPr>
                <w:rPr>
                  <w:rFonts w:ascii="Cambria Math" w:eastAsia="Times New Roman" w:hAnsi="Cambria Math"/>
                  <w:b/>
                  <w:i/>
                  <w:szCs w:val="28"/>
                  <w:lang w:val="en-US" w:eastAsia="ru-RU"/>
                </w:rPr>
              </m:ctrlPr>
            </m:sSubPr>
            <m:e>
              <m:r>
                <m:rPr>
                  <m:sty m:val="bi"/>
                </m:rPr>
                <w:rPr>
                  <w:rFonts w:ascii="Cambria Math" w:eastAsia="Times New Roman" w:hAnsi="Cambria Math"/>
                  <w:szCs w:val="28"/>
                  <w:lang w:val="en-US" w:eastAsia="ru-RU"/>
                </w:rPr>
                <m:t>X</m:t>
              </m:r>
            </m:e>
            <m:sub>
              <m:r>
                <m:rPr>
                  <m:sty m:val="bi"/>
                </m:rPr>
                <w:rPr>
                  <w:rFonts w:ascii="Cambria Math" w:eastAsia="Times New Roman" w:hAnsi="Cambria Math"/>
                  <w:szCs w:val="28"/>
                  <w:lang w:val="en-US" w:eastAsia="ru-RU"/>
                </w:rPr>
                <m:t>3</m:t>
              </m:r>
            </m:sub>
          </m:sSub>
          <m:r>
            <m:rPr>
              <m:sty m:val="bi"/>
            </m:rPr>
            <w:rPr>
              <w:rFonts w:ascii="Cambria Math" w:eastAsia="Times New Roman" w:hAnsi="Cambria Math"/>
              <w:szCs w:val="28"/>
              <w:lang w:val="en-US" w:eastAsia="ru-RU"/>
            </w:rPr>
            <m:t>+0.409</m:t>
          </m:r>
          <m:sSub>
            <m:sSubPr>
              <m:ctrlPr>
                <w:rPr>
                  <w:rFonts w:ascii="Cambria Math" w:eastAsia="Times New Roman" w:hAnsi="Cambria Math"/>
                  <w:b/>
                  <w:i/>
                  <w:szCs w:val="28"/>
                  <w:lang w:val="en-US" w:eastAsia="ru-RU"/>
                </w:rPr>
              </m:ctrlPr>
            </m:sSubPr>
            <m:e>
              <m:r>
                <m:rPr>
                  <m:sty m:val="bi"/>
                </m:rPr>
                <w:rPr>
                  <w:rFonts w:ascii="Cambria Math" w:eastAsia="Times New Roman" w:hAnsi="Cambria Math"/>
                  <w:szCs w:val="28"/>
                  <w:lang w:val="en-US" w:eastAsia="ru-RU"/>
                </w:rPr>
                <m:t>X</m:t>
              </m:r>
            </m:e>
            <m:sub>
              <m:r>
                <m:rPr>
                  <m:sty m:val="bi"/>
                </m:rPr>
                <w:rPr>
                  <w:rFonts w:ascii="Cambria Math" w:eastAsia="Times New Roman" w:hAnsi="Cambria Math"/>
                  <w:szCs w:val="28"/>
                  <w:lang w:val="en-US" w:eastAsia="ru-RU"/>
                </w:rPr>
                <m:t>4</m:t>
              </m:r>
            </m:sub>
          </m:sSub>
          <m:r>
            <m:rPr>
              <m:sty m:val="bi"/>
            </m:rPr>
            <w:rPr>
              <w:rFonts w:ascii="Cambria Math" w:eastAsia="Times New Roman" w:hAnsi="Cambria Math"/>
              <w:szCs w:val="28"/>
              <w:lang w:val="en-US" w:eastAsia="ru-RU"/>
            </w:rPr>
            <m:t>- 0.04</m:t>
          </m:r>
          <m:sSub>
            <m:sSubPr>
              <m:ctrlPr>
                <w:rPr>
                  <w:rFonts w:ascii="Cambria Math" w:eastAsia="Times New Roman" w:hAnsi="Cambria Math"/>
                  <w:b/>
                  <w:i/>
                  <w:szCs w:val="28"/>
                  <w:lang w:val="en-US" w:eastAsia="ru-RU"/>
                </w:rPr>
              </m:ctrlPr>
            </m:sSubPr>
            <m:e>
              <m:r>
                <m:rPr>
                  <m:sty m:val="bi"/>
                </m:rPr>
                <w:rPr>
                  <w:rFonts w:ascii="Cambria Math" w:eastAsia="Times New Roman" w:hAnsi="Cambria Math"/>
                  <w:szCs w:val="28"/>
                  <w:lang w:val="en-US" w:eastAsia="ru-RU"/>
                </w:rPr>
                <m:t>X</m:t>
              </m:r>
            </m:e>
            <m:sub>
              <m:r>
                <m:rPr>
                  <m:sty m:val="bi"/>
                </m:rPr>
                <w:rPr>
                  <w:rFonts w:ascii="Cambria Math" w:eastAsia="Times New Roman" w:hAnsi="Cambria Math"/>
                  <w:szCs w:val="28"/>
                  <w:lang w:val="en-US" w:eastAsia="ru-RU"/>
                </w:rPr>
                <m:t>5</m:t>
              </m:r>
            </m:sub>
          </m:sSub>
          <m:r>
            <m:rPr>
              <m:sty m:val="bi"/>
            </m:rPr>
            <w:rPr>
              <w:rFonts w:ascii="Cambria Math" w:eastAsia="Times New Roman" w:hAnsi="Cambria Math"/>
              <w:szCs w:val="28"/>
              <w:lang w:val="en-US" w:eastAsia="ru-RU"/>
            </w:rPr>
            <m:t>- 0.335</m:t>
          </m:r>
          <m:sSub>
            <m:sSubPr>
              <m:ctrlPr>
                <w:rPr>
                  <w:rFonts w:ascii="Cambria Math" w:eastAsia="Times New Roman" w:hAnsi="Cambria Math"/>
                  <w:b/>
                  <w:i/>
                  <w:szCs w:val="28"/>
                  <w:lang w:val="en-US" w:eastAsia="ru-RU"/>
                </w:rPr>
              </m:ctrlPr>
            </m:sSubPr>
            <m:e>
              <m:r>
                <m:rPr>
                  <m:sty m:val="bi"/>
                </m:rPr>
                <w:rPr>
                  <w:rFonts w:ascii="Cambria Math" w:eastAsia="Times New Roman" w:hAnsi="Cambria Math"/>
                  <w:szCs w:val="28"/>
                  <w:lang w:val="en-US" w:eastAsia="ru-RU"/>
                </w:rPr>
                <m:t>X</m:t>
              </m:r>
            </m:e>
            <m:sub>
              <m:r>
                <m:rPr>
                  <m:sty m:val="bi"/>
                </m:rPr>
                <w:rPr>
                  <w:rFonts w:ascii="Cambria Math" w:eastAsia="Times New Roman" w:hAnsi="Cambria Math"/>
                  <w:szCs w:val="28"/>
                  <w:lang w:val="en-US" w:eastAsia="ru-RU"/>
                </w:rPr>
                <m:t>6</m:t>
              </m:r>
            </m:sub>
          </m:sSub>
          <m:r>
            <m:rPr>
              <m:sty m:val="bi"/>
            </m:rPr>
            <w:rPr>
              <w:rFonts w:ascii="Cambria Math" w:eastAsia="Times New Roman" w:hAnsi="Cambria Math"/>
              <w:szCs w:val="28"/>
              <w:lang w:val="en-US" w:eastAsia="ru-RU"/>
            </w:rPr>
            <m:t>+ 1.92</m:t>
          </m:r>
        </m:oMath>
      </m:oMathPara>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 xml:space="preserve">критерия </w:t>
      </w:r>
      <w:r w:rsidRPr="00DF774B">
        <w:rPr>
          <w:rFonts w:eastAsia="Times New Roman"/>
          <w:i/>
          <w:szCs w:val="28"/>
          <w:lang w:val="ru-RU" w:eastAsia="ru-RU"/>
        </w:rPr>
        <w:t xml:space="preserve">Стьюдента </w:t>
      </w:r>
      <w:r w:rsidRPr="00DF774B">
        <w:rPr>
          <w:rFonts w:eastAsia="Times New Roman"/>
          <w:szCs w:val="28"/>
          <w:lang w:val="ru-RU" w:eastAsia="ru-RU"/>
        </w:rPr>
        <w:t xml:space="preserve">путем проверки гипотезы о том, что каждый параметр регрессии равен нулю </w:t>
      </w:r>
      <w:r w:rsidRPr="00684713">
        <w:rPr>
          <w:rFonts w:eastAsia="Times New Roman"/>
          <w:szCs w:val="28"/>
          <w:lang w:val="uz-Cyrl-UZ" w:eastAsia="ru-RU"/>
        </w:rPr>
        <w:t xml:space="preserve">. </w:t>
      </w:r>
      <w:r w:rsidRPr="00DF774B">
        <w:rPr>
          <w:rFonts w:eastAsia="Times New Roman"/>
          <w:szCs w:val="28"/>
          <w:lang w:val="ru-RU" w:eastAsia="ru-RU"/>
        </w:rPr>
        <w:t xml:space="preserve">Гипотеза о значимости каждого параметра уравнения регрессии основана на методе проверки гипотез в эконометрике </w:t>
      </w:r>
      <w:r w:rsidRPr="00837EF4">
        <w:rPr>
          <w:rFonts w:eastAsia="Times New Roman"/>
          <w:szCs w:val="28"/>
          <w:lang w:val="uz-Cyrl-UZ" w:eastAsia="ru-RU"/>
        </w:rPr>
        <w:t>.</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 xml:space="preserve">Этот показатель имеет первостепенное значение в регрессионном анализе, </w:t>
      </w:r>
      <w:r w:rsidRPr="004D56AE">
        <w:rPr>
          <w:rFonts w:eastAsia="Times New Roman"/>
          <w:i/>
          <w:szCs w:val="28"/>
          <w:lang w:val="en-US" w:eastAsia="ru-RU"/>
        </w:rPr>
        <w:t>t</w:t>
      </w:r>
      <w:r w:rsidRPr="00DF774B">
        <w:rPr>
          <w:rFonts w:eastAsia="Times New Roman"/>
          <w:i/>
          <w:szCs w:val="28"/>
          <w:lang w:val="ru-RU" w:eastAsia="ru-RU"/>
        </w:rPr>
        <w:t>-тестах и других статистических тестах, поскольку используется для проверки значимости коэффициентов.</w:t>
      </w:r>
    </w:p>
    <w:p w:rsidR="00B36355" w:rsidRPr="00DF774B" w:rsidRDefault="00F50397" w:rsidP="00B36355">
      <w:pPr>
        <w:spacing w:after="0" w:line="360" w:lineRule="auto"/>
        <w:ind w:firstLine="708"/>
        <w:jc w:val="center"/>
        <w:rPr>
          <w:rFonts w:eastAsia="Times New Roman"/>
          <w:szCs w:val="28"/>
          <w:lang w:val="ru-RU" w:eastAsia="ru-RU"/>
        </w:rPr>
      </w:pPr>
      <m:oMath>
        <m:r>
          <w:rPr>
            <w:rFonts w:ascii="Cambria Math" w:eastAsia="Times New Roman" w:hAnsi="Cambria Math" w:cs="Cambria Math"/>
            <w:szCs w:val="28"/>
            <w:lang w:val="en-US" w:eastAsia="ru-RU"/>
          </w:rPr>
          <m:t>t</m:t>
        </m:r>
        <m:r>
          <m:rPr>
            <m:sty m:val="p"/>
          </m:rPr>
          <w:rPr>
            <w:rFonts w:ascii="Cambria Math" w:eastAsia="Times New Roman" w:hAnsi="Cambria Math" w:cs="Cambria Math"/>
            <w:szCs w:val="28"/>
            <w:lang w:val="ru-RU" w:eastAsia="ru-RU"/>
          </w:rPr>
          <m:t>=</m:t>
        </m:r>
        <m:f>
          <m:fPr>
            <m:ctrlPr>
              <w:rPr>
                <w:rFonts w:ascii="Cambria Math" w:eastAsia="Times New Roman" w:hAnsi="Cambria Math"/>
                <w:szCs w:val="28"/>
                <w:lang w:val="en-US" w:eastAsia="ru-RU"/>
              </w:rPr>
            </m:ctrlPr>
          </m:fPr>
          <m:num>
            <m:sSub>
              <m:sSubPr>
                <m:ctrlPr>
                  <w:rPr>
                    <w:rFonts w:ascii="Cambria Math" w:eastAsia="Times New Roman" w:hAnsi="Cambria Math" w:cs="Cambria Math"/>
                    <w:i/>
                    <w:szCs w:val="28"/>
                    <w:lang w:val="en-US" w:eastAsia="ru-RU"/>
                  </w:rPr>
                </m:ctrlPr>
              </m:sSubPr>
              <m:e>
                <m:r>
                  <w:rPr>
                    <w:rFonts w:ascii="Cambria Math" w:eastAsia="Times New Roman" w:hAnsi="Cambria Math" w:cs="Cambria Math"/>
                    <w:szCs w:val="28"/>
                    <w:lang w:val="en-US" w:eastAsia="ru-RU"/>
                  </w:rPr>
                  <m:t>b</m:t>
                </m:r>
              </m:e>
              <m:sub>
                <m:r>
                  <w:rPr>
                    <w:rFonts w:ascii="Cambria Math" w:eastAsia="Times New Roman" w:hAnsi="Cambria Math" w:cs="Cambria Math"/>
                    <w:szCs w:val="28"/>
                    <w:lang w:val="en-US" w:eastAsia="ru-RU"/>
                  </w:rPr>
                  <m:t>i</m:t>
                </m:r>
              </m:sub>
            </m:sSub>
            <m:r>
              <w:rPr>
                <w:rFonts w:ascii="Cambria Math" w:eastAsia="Times New Roman" w:hAnsi="Cambria Math" w:cs="Cambria Math"/>
                <w:szCs w:val="28"/>
                <w:lang w:val="ru-RU" w:eastAsia="ru-RU"/>
              </w:rPr>
              <m:t>-0</m:t>
            </m:r>
          </m:num>
          <m:den>
            <m:sSub>
              <m:sSubPr>
                <m:ctrlPr>
                  <w:rPr>
                    <w:rFonts w:ascii="Cambria Math" w:eastAsia="Times New Roman" w:hAnsi="Cambria Math" w:cs="Cambria Math"/>
                    <w:szCs w:val="28"/>
                    <w:lang w:val="en-US" w:eastAsia="ru-RU"/>
                  </w:rPr>
                </m:ctrlPr>
              </m:sSubPr>
              <m:e>
                <m:r>
                  <w:rPr>
                    <w:rFonts w:ascii="Cambria Math" w:eastAsia="Times New Roman" w:hAnsi="Cambria Math" w:cs="Cambria Math"/>
                    <w:szCs w:val="28"/>
                    <w:lang w:val="en-US" w:eastAsia="ru-RU"/>
                  </w:rPr>
                  <m:t>S</m:t>
                </m:r>
              </m:e>
              <m:sub>
                <m:sSub>
                  <m:sSubPr>
                    <m:ctrlPr>
                      <w:rPr>
                        <w:rFonts w:ascii="Cambria Math" w:eastAsia="Times New Roman" w:hAnsi="Cambria Math" w:cs="Cambria Math"/>
                        <w:i/>
                        <w:szCs w:val="28"/>
                        <w:lang w:val="en-US" w:eastAsia="ru-RU"/>
                      </w:rPr>
                    </m:ctrlPr>
                  </m:sSubPr>
                  <m:e>
                    <m:r>
                      <w:rPr>
                        <w:rFonts w:ascii="Cambria Math" w:eastAsia="Times New Roman" w:hAnsi="Cambria Math" w:cs="Cambria Math"/>
                        <w:szCs w:val="28"/>
                        <w:lang w:val="en-US" w:eastAsia="ru-RU"/>
                      </w:rPr>
                      <m:t>b</m:t>
                    </m:r>
                  </m:e>
                  <m:sub>
                    <m:r>
                      <w:rPr>
                        <w:rFonts w:ascii="Cambria Math" w:eastAsia="Times New Roman" w:hAnsi="Cambria Math" w:cs="Cambria Math"/>
                        <w:szCs w:val="28"/>
                        <w:lang w:val="en-US" w:eastAsia="ru-RU"/>
                      </w:rPr>
                      <m:t>i</m:t>
                    </m:r>
                  </m:sub>
                </m:sSub>
              </m:sub>
            </m:sSub>
          </m:den>
        </m:f>
      </m:oMath>
      <w:r w:rsidR="00B36355" w:rsidRPr="00DF774B">
        <w:rPr>
          <w:rFonts w:eastAsia="Times New Roman"/>
          <w:szCs w:val="28"/>
          <w:lang w:val="ru-RU" w:eastAsia="ru-RU"/>
        </w:rPr>
        <w:t>или</w:t>
      </w:r>
      <m:oMath>
        <m:f>
          <m:fPr>
            <m:ctrlPr>
              <w:rPr>
                <w:rFonts w:ascii="Cambria Math" w:eastAsia="Times New Roman" w:hAnsi="Cambria Math"/>
                <w:i/>
                <w:szCs w:val="28"/>
                <w:lang w:val="en-US" w:eastAsia="ru-RU"/>
              </w:rPr>
            </m:ctrlPr>
          </m:fPr>
          <m:num>
            <m:r>
              <w:rPr>
                <w:rFonts w:ascii="Cambria Math" w:eastAsia="Times New Roman" w:hAnsi="Cambria Math"/>
                <w:szCs w:val="28"/>
                <w:lang w:val="en-US" w:eastAsia="ru-RU"/>
              </w:rPr>
              <m:t>Coef</m:t>
            </m:r>
          </m:num>
          <m:den>
            <m:r>
              <w:rPr>
                <w:rFonts w:ascii="Cambria Math" w:eastAsia="Times New Roman" w:hAnsi="Cambria Math"/>
                <w:szCs w:val="28"/>
                <w:lang w:val="en-US" w:eastAsia="ru-RU"/>
              </w:rPr>
              <m:t>Std</m:t>
            </m:r>
            <m:r>
              <w:rPr>
                <w:rFonts w:ascii="Cambria Math" w:eastAsia="Times New Roman" w:hAnsi="Cambria Math"/>
                <w:szCs w:val="28"/>
                <w:lang w:val="ru-RU" w:eastAsia="ru-RU"/>
              </w:rPr>
              <m:t>.</m:t>
            </m:r>
            <m:r>
              <w:rPr>
                <w:rFonts w:ascii="Cambria Math" w:eastAsia="Times New Roman" w:hAnsi="Cambria Math"/>
                <w:szCs w:val="28"/>
                <w:lang w:val="en-US" w:eastAsia="ru-RU"/>
              </w:rPr>
              <m:t>err</m:t>
            </m:r>
          </m:den>
        </m:f>
      </m:oMath>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Если |</w:t>
      </w:r>
      <w:r>
        <w:rPr>
          <w:rFonts w:eastAsia="Times New Roman"/>
          <w:szCs w:val="28"/>
          <w:lang w:val="en-US" w:eastAsia="ru-RU"/>
        </w:rPr>
        <w:t>t</w:t>
      </w:r>
      <w:r w:rsidRPr="00DF774B">
        <w:rPr>
          <w:rFonts w:eastAsia="Times New Roman"/>
          <w:szCs w:val="28"/>
          <w:lang w:val="ru-RU" w:eastAsia="ru-RU"/>
        </w:rPr>
        <w:t xml:space="preserve">| &gt; 2, то значимое значение </w:t>
      </w:r>
      <w:r>
        <w:rPr>
          <w:rFonts w:eastAsia="Times New Roman"/>
          <w:szCs w:val="28"/>
          <w:lang w:val="en-US" w:eastAsia="ru-RU"/>
        </w:rPr>
        <w:t>t</w:t>
      </w:r>
      <w:r w:rsidRPr="00DF774B">
        <w:rPr>
          <w:rFonts w:eastAsia="Times New Roman"/>
          <w:szCs w:val="28"/>
          <w:lang w:val="ru-RU" w:eastAsia="ru-RU"/>
        </w:rPr>
        <w:t xml:space="preserve"> оценивается на основе </w:t>
      </w:r>
      <w:r>
        <w:rPr>
          <w:rFonts w:eastAsia="Times New Roman"/>
          <w:szCs w:val="28"/>
          <w:lang w:val="en-US" w:eastAsia="ru-RU"/>
        </w:rPr>
        <w:t>t</w:t>
      </w:r>
      <w:r w:rsidRPr="00DF774B">
        <w:rPr>
          <w:rFonts w:eastAsia="Times New Roman"/>
          <w:szCs w:val="28"/>
          <w:lang w:val="ru-RU" w:eastAsia="ru-RU"/>
        </w:rPr>
        <w:t>-распределения.</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i/>
          <w:szCs w:val="28"/>
          <w:lang w:val="ru-RU" w:eastAsia="ru-RU"/>
        </w:rPr>
        <w:t>_</w:t>
      </w:r>
      <w:r w:rsidRPr="00B21581">
        <w:rPr>
          <w:rFonts w:eastAsia="Times New Roman"/>
          <w:i/>
          <w:szCs w:val="28"/>
          <w:lang w:val="en-US" w:eastAsia="ru-RU"/>
        </w:rPr>
        <w:t>cons</w:t>
      </w:r>
      <w:r w:rsidRPr="00DF774B">
        <w:rPr>
          <w:rFonts w:eastAsia="Times New Roman"/>
          <w:i/>
          <w:szCs w:val="28"/>
          <w:lang w:val="ru-RU" w:eastAsia="ru-RU"/>
        </w:rPr>
        <w:t xml:space="preserve"> </w:t>
      </w:r>
      <w:r w:rsidRPr="00DF774B">
        <w:rPr>
          <w:rFonts w:eastAsia="Times New Roman"/>
          <w:szCs w:val="28"/>
          <w:lang w:val="ru-RU" w:eastAsia="ru-RU"/>
        </w:rPr>
        <w:t xml:space="preserve">окажется статистически незначимым? Если все независимые переменные равны нулю, мы не можем с уверенностью сказать, что значение </w:t>
      </w:r>
      <w:r w:rsidRPr="00B21581">
        <w:rPr>
          <w:rFonts w:eastAsia="Times New Roman"/>
          <w:i/>
          <w:szCs w:val="28"/>
          <w:lang w:val="en-US" w:eastAsia="ru-RU"/>
        </w:rPr>
        <w:t>y</w:t>
      </w:r>
      <w:r w:rsidRPr="00DF774B">
        <w:rPr>
          <w:rFonts w:eastAsia="Times New Roman"/>
          <w:i/>
          <w:szCs w:val="28"/>
          <w:lang w:val="ru-RU" w:eastAsia="ru-RU"/>
        </w:rPr>
        <w:t xml:space="preserve"> равно _</w:t>
      </w:r>
      <w:r w:rsidRPr="00B21581">
        <w:rPr>
          <w:rFonts w:eastAsia="Times New Roman"/>
          <w:i/>
          <w:szCs w:val="28"/>
          <w:lang w:val="en-US" w:eastAsia="ru-RU"/>
        </w:rPr>
        <w:t>cons</w:t>
      </w:r>
      <w:r w:rsidRPr="00DF774B">
        <w:rPr>
          <w:rFonts w:eastAsia="Times New Roman"/>
          <w:i/>
          <w:szCs w:val="28"/>
          <w:lang w:val="ru-RU" w:eastAsia="ru-RU"/>
        </w:rPr>
        <w:t xml:space="preserve"> </w:t>
      </w:r>
      <w:r w:rsidRPr="00DF774B">
        <w:rPr>
          <w:rFonts w:eastAsia="Times New Roman"/>
          <w:szCs w:val="28"/>
          <w:lang w:val="ru-RU" w:eastAsia="ru-RU"/>
        </w:rPr>
        <w:t>.</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Рассчитанная многомерная эконометрическая модель показывает, что при неизменности других переменных увеличение «Национальных инвестиций» (</w:t>
      </w:r>
      <w:r>
        <w:rPr>
          <w:rFonts w:eastAsia="Times New Roman"/>
          <w:szCs w:val="28"/>
          <w:lang w:val="en-US" w:eastAsia="ru-RU"/>
        </w:rPr>
        <w:t>Ln</w:t>
      </w:r>
      <w:r w:rsidRPr="00DF774B">
        <w:rPr>
          <w:rFonts w:eastAsia="Times New Roman"/>
          <w:szCs w:val="28"/>
          <w:lang w:val="ru-RU" w:eastAsia="ru-RU"/>
        </w:rPr>
        <w:t xml:space="preserve">Основной капитал) ( </w:t>
      </w:r>
      <w:r w:rsidRPr="00975C46">
        <w:rPr>
          <w:rFonts w:eastAsia="Times New Roman"/>
          <w:i/>
          <w:iCs/>
          <w:szCs w:val="28"/>
          <w:lang w:val="en-US" w:eastAsia="ru-RU"/>
        </w:rPr>
        <w:t>X</w:t>
      </w:r>
      <w:r w:rsidRPr="00DF774B">
        <w:rPr>
          <w:rFonts w:eastAsia="Times New Roman"/>
          <w:i/>
          <w:iCs/>
          <w:szCs w:val="28"/>
          <w:lang w:val="ru-RU" w:eastAsia="ru-RU"/>
        </w:rPr>
        <w:t xml:space="preserve">1 </w:t>
      </w:r>
      <w:r w:rsidRPr="00DF774B">
        <w:rPr>
          <w:rFonts w:eastAsia="Times New Roman"/>
          <w:szCs w:val="28"/>
          <w:lang w:val="ru-RU" w:eastAsia="ru-RU"/>
        </w:rPr>
        <w:t>) в среднем на один процент приведет к увеличению объема сельскохозяйственной продукции (</w:t>
      </w:r>
      <w:r w:rsidRPr="00975C46">
        <w:rPr>
          <w:rFonts w:eastAsia="Times New Roman"/>
          <w:szCs w:val="28"/>
          <w:lang w:val="en-US" w:eastAsia="ru-RU"/>
        </w:rPr>
        <w:t>ln</w:t>
      </w:r>
      <w:r w:rsidRPr="00DF774B">
        <w:rPr>
          <w:rFonts w:eastAsia="Times New Roman"/>
          <w:szCs w:val="28"/>
          <w:lang w:val="ru-RU" w:eastAsia="ru-RU"/>
        </w:rPr>
        <w:t xml:space="preserve">Сельское хозяйство) ( </w:t>
      </w:r>
      <w:r w:rsidRPr="00975C46">
        <w:rPr>
          <w:rFonts w:eastAsia="Times New Roman"/>
          <w:i/>
          <w:iCs/>
          <w:szCs w:val="28"/>
          <w:lang w:val="en-US" w:eastAsia="ru-RU"/>
        </w:rPr>
        <w:t>Y</w:t>
      </w:r>
      <w:r w:rsidRPr="00DF774B">
        <w:rPr>
          <w:rFonts w:eastAsia="Times New Roman"/>
          <w:i/>
          <w:iCs/>
          <w:szCs w:val="28"/>
          <w:lang w:val="ru-RU" w:eastAsia="ru-RU"/>
        </w:rPr>
        <w:t xml:space="preserve"> ) в среднем на 0,23 процента. Значение </w:t>
      </w:r>
      <w:r w:rsidRPr="00975C46">
        <w:rPr>
          <w:rFonts w:eastAsia="Times New Roman"/>
          <w:i/>
          <w:iCs/>
          <w:szCs w:val="28"/>
          <w:lang w:val="en-US" w:eastAsia="ru-RU"/>
        </w:rPr>
        <w:t>p</w:t>
      </w:r>
      <w:r w:rsidRPr="00DF774B">
        <w:rPr>
          <w:rFonts w:eastAsia="Times New Roman"/>
          <w:i/>
          <w:iCs/>
          <w:szCs w:val="28"/>
          <w:lang w:val="ru-RU" w:eastAsia="ru-RU"/>
        </w:rPr>
        <w:t xml:space="preserve"> равно 0,023, и это значение статистически значимо. Также, при увеличении иностранных инвестиций (</w:t>
      </w:r>
      <w:r w:rsidRPr="00975C46">
        <w:rPr>
          <w:rFonts w:eastAsia="Times New Roman"/>
          <w:i/>
          <w:iCs/>
          <w:szCs w:val="28"/>
          <w:lang w:val="en-US" w:eastAsia="ru-RU"/>
        </w:rPr>
        <w:t>ln</w:t>
      </w:r>
      <w:r w:rsidRPr="00DF774B">
        <w:rPr>
          <w:rFonts w:eastAsia="Times New Roman"/>
          <w:i/>
          <w:iCs/>
          <w:szCs w:val="28"/>
          <w:lang w:val="ru-RU" w:eastAsia="ru-RU"/>
        </w:rPr>
        <w:t xml:space="preserve">Основной капитал) на </w:t>
      </w:r>
      <w:r w:rsidRPr="00DF774B">
        <w:rPr>
          <w:rFonts w:eastAsia="Times New Roman"/>
          <w:szCs w:val="28"/>
          <w:vertAlign w:val="subscript"/>
          <w:lang w:val="ru-RU" w:eastAsia="ru-RU"/>
        </w:rPr>
        <w:t xml:space="preserve">1 </w:t>
      </w:r>
      <w:r w:rsidRPr="00DF774B">
        <w:rPr>
          <w:rFonts w:eastAsia="Times New Roman"/>
          <w:szCs w:val="28"/>
          <w:lang w:val="ru-RU" w:eastAsia="ru-RU"/>
        </w:rPr>
        <w:t xml:space="preserve">% объем производства увеличивается в среднем на 0,51%. Коэффициент: 0,506, </w:t>
      </w:r>
      <w:r w:rsidRPr="00975C46">
        <w:rPr>
          <w:rFonts w:eastAsia="Times New Roman"/>
          <w:szCs w:val="28"/>
          <w:lang w:val="en-US" w:eastAsia="ru-RU"/>
        </w:rPr>
        <w:t>p</w:t>
      </w:r>
      <w:r w:rsidRPr="00DF774B">
        <w:rPr>
          <w:rFonts w:eastAsia="Times New Roman"/>
          <w:szCs w:val="28"/>
          <w:lang w:val="ru-RU" w:eastAsia="ru-RU"/>
        </w:rPr>
        <w:t xml:space="preserve"> = 0,001 (значимо). Иностранные займы сельскому хозяйству (</w:t>
      </w:r>
      <w:r w:rsidRPr="00975C46">
        <w:rPr>
          <w:rFonts w:eastAsia="Times New Roman"/>
          <w:szCs w:val="28"/>
          <w:lang w:val="en-US" w:eastAsia="ru-RU"/>
        </w:rPr>
        <w:t>ln</w:t>
      </w:r>
      <w:r w:rsidRPr="00DF774B">
        <w:rPr>
          <w:rFonts w:eastAsia="Times New Roman"/>
          <w:szCs w:val="28"/>
          <w:lang w:val="ru-RU" w:eastAsia="ru-RU"/>
        </w:rPr>
        <w:t xml:space="preserve">Сельское хозяйство). Коэффициент: -0,245, </w:t>
      </w:r>
      <w:r w:rsidRPr="00975C46">
        <w:rPr>
          <w:rFonts w:eastAsia="Times New Roman"/>
          <w:szCs w:val="28"/>
          <w:lang w:val="en-US" w:eastAsia="ru-RU"/>
        </w:rPr>
        <w:t>p</w:t>
      </w:r>
      <w:r w:rsidRPr="00DF774B">
        <w:rPr>
          <w:rFonts w:eastAsia="Times New Roman"/>
          <w:szCs w:val="28"/>
          <w:lang w:val="ru-RU" w:eastAsia="ru-RU"/>
        </w:rPr>
        <w:t xml:space="preserve"> = 0,019 (значимо, отрицательно). То есть, если займы увеличиваются на 1%, объем производства уменьшается в среднем на 0,25%. Это может указывать на неэффективное использование заемных средств или на их расходование на </w:t>
      </w:r>
      <w:r w:rsidRPr="00DF774B">
        <w:rPr>
          <w:rFonts w:eastAsia="Times New Roman"/>
          <w:szCs w:val="28"/>
          <w:lang w:val="ru-RU" w:eastAsia="ru-RU"/>
        </w:rPr>
        <w:lastRenderedPageBreak/>
        <w:t>покрытие краткосрочных обязательств. Внутренние займы сельскому хозяйству (</w:t>
      </w:r>
      <w:r w:rsidRPr="00975C46">
        <w:rPr>
          <w:rFonts w:eastAsia="Times New Roman"/>
          <w:szCs w:val="28"/>
          <w:lang w:val="en-US" w:eastAsia="ru-RU"/>
        </w:rPr>
        <w:t>lnAgriculture</w:t>
      </w:r>
      <w:r w:rsidRPr="00DF774B">
        <w:rPr>
          <w:rFonts w:eastAsia="Times New Roman"/>
          <w:szCs w:val="28"/>
          <w:lang w:val="ru-RU" w:eastAsia="ru-RU"/>
        </w:rPr>
        <w:t xml:space="preserve">) Коэффициент: 0,409, </w:t>
      </w:r>
      <w:r w:rsidRPr="00975C46">
        <w:rPr>
          <w:rFonts w:eastAsia="Times New Roman"/>
          <w:szCs w:val="28"/>
          <w:lang w:val="en-US" w:eastAsia="ru-RU"/>
        </w:rPr>
        <w:t>p</w:t>
      </w:r>
      <w:r w:rsidRPr="00DF774B">
        <w:rPr>
          <w:rFonts w:eastAsia="Times New Roman"/>
          <w:szCs w:val="28"/>
          <w:lang w:val="ru-RU" w:eastAsia="ru-RU"/>
        </w:rPr>
        <w:t xml:space="preserve"> = 0,064 (значимость на грани статистической значимости). При увеличении внутренних займов на 1% объем производства увеличивается в среднем на 0,41%. Этот результат указывает на положительное влияние займов на рост, но его статистическая значимость слабая. Субсидии (</w:t>
      </w:r>
      <w:r w:rsidRPr="00975C46">
        <w:rPr>
          <w:rFonts w:eastAsia="Times New Roman"/>
          <w:szCs w:val="28"/>
          <w:lang w:val="en-US" w:eastAsia="ru-RU"/>
        </w:rPr>
        <w:t>lnAgriculture</w:t>
      </w:r>
      <w:r w:rsidRPr="00DF774B">
        <w:rPr>
          <w:rFonts w:eastAsia="Times New Roman"/>
          <w:szCs w:val="28"/>
          <w:lang w:val="ru-RU" w:eastAsia="ru-RU"/>
        </w:rPr>
        <w:t xml:space="preserve">) Коэффициент: -0,04, </w:t>
      </w:r>
      <w:r w:rsidRPr="00975C46">
        <w:rPr>
          <w:rFonts w:eastAsia="Times New Roman"/>
          <w:szCs w:val="28"/>
          <w:lang w:val="en-US" w:eastAsia="ru-RU"/>
        </w:rPr>
        <w:t>p</w:t>
      </w:r>
      <w:r w:rsidRPr="00DF774B">
        <w:rPr>
          <w:rFonts w:eastAsia="Times New Roman"/>
          <w:szCs w:val="28"/>
          <w:lang w:val="ru-RU" w:eastAsia="ru-RU"/>
        </w:rPr>
        <w:t xml:space="preserve"> = 0,74 (незначимо). Значимого влияния субсидий на объем производства не обнаружено. Хотя повышение процентных ставок оказывает отрицательное влияние, этот результат статистически незначим.</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Для проверки качества построенной многофакторной эконометрической модели мы проверяем коэффициент детерминации. Коэффициент детерминации показывает, какая часть результирующего фактора формируется факторами, включенными в модель. Вычисленный коэффициент детерминации составляет 0,98. Это указывает на то, что 98,6 процента объема сельскохозяйственной продукции (</w:t>
      </w:r>
      <w:r w:rsidRPr="006F3405">
        <w:rPr>
          <w:rFonts w:eastAsia="Times New Roman"/>
          <w:szCs w:val="28"/>
          <w:lang w:val="en-US" w:eastAsia="ru-RU"/>
        </w:rPr>
        <w:t>lnAgricultural</w:t>
      </w:r>
      <w:r w:rsidRPr="00DF774B">
        <w:rPr>
          <w:rFonts w:eastAsia="Times New Roman"/>
          <w:szCs w:val="28"/>
          <w:lang w:val="ru-RU" w:eastAsia="ru-RU"/>
        </w:rPr>
        <w:t>~</w:t>
      </w:r>
      <w:r w:rsidRPr="006F3405">
        <w:rPr>
          <w:rFonts w:eastAsia="Times New Roman"/>
          <w:szCs w:val="28"/>
          <w:lang w:val="en-US" w:eastAsia="ru-RU"/>
        </w:rPr>
        <w:t>i</w:t>
      </w:r>
      <w:r w:rsidRPr="00DF774B">
        <w:rPr>
          <w:rFonts w:eastAsia="Times New Roman"/>
          <w:szCs w:val="28"/>
          <w:lang w:val="ru-RU" w:eastAsia="ru-RU"/>
        </w:rPr>
        <w:t xml:space="preserve">) ( </w:t>
      </w:r>
      <w:r w:rsidRPr="00975C46">
        <w:rPr>
          <w:rFonts w:eastAsia="Times New Roman"/>
          <w:i/>
          <w:iCs/>
          <w:szCs w:val="28"/>
          <w:lang w:val="en-US" w:eastAsia="ru-RU"/>
        </w:rPr>
        <w:t>Y</w:t>
      </w:r>
      <w:r w:rsidRPr="00DF774B">
        <w:rPr>
          <w:rFonts w:eastAsia="Times New Roman"/>
          <w:i/>
          <w:iCs/>
          <w:szCs w:val="28"/>
          <w:lang w:val="ru-RU" w:eastAsia="ru-RU"/>
        </w:rPr>
        <w:t xml:space="preserve"> </w:t>
      </w:r>
      <w:r w:rsidRPr="00DF774B">
        <w:rPr>
          <w:rFonts w:eastAsia="Times New Roman"/>
          <w:szCs w:val="28"/>
          <w:lang w:val="ru-RU" w:eastAsia="ru-RU"/>
        </w:rPr>
        <w:t>) формируется фактором, включенным в рассчитанную многофакторную эконометрическую модель. Оставшиеся 0,14 процента (100,0-98,6) указывают на влияние факторов, не учтенных в модели.</w:t>
      </w:r>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i/>
          <w:szCs w:val="28"/>
          <w:lang w:val="ru-RU" w:eastAsia="ru-RU"/>
        </w:rPr>
        <w:t xml:space="preserve">Коэффициент детерминации </w:t>
      </w:r>
      <w:r w:rsidRPr="000051DA">
        <w:rPr>
          <w:rFonts w:eastAsia="Times New Roman"/>
          <w:i/>
          <w:szCs w:val="28"/>
          <w:lang w:val="en-US" w:eastAsia="ru-RU"/>
        </w:rPr>
        <w:t>R</w:t>
      </w:r>
      <w:r w:rsidRPr="00DF774B">
        <w:rPr>
          <w:rFonts w:eastAsia="Times New Roman"/>
          <w:i/>
          <w:szCs w:val="28"/>
          <w:lang w:val="ru-RU" w:eastAsia="ru-RU"/>
        </w:rPr>
        <w:t>² (</w:t>
      </w:r>
      <w:r w:rsidRPr="000051DA">
        <w:rPr>
          <w:rFonts w:eastAsia="Times New Roman"/>
          <w:i/>
          <w:szCs w:val="28"/>
          <w:lang w:val="en-US" w:eastAsia="ru-RU"/>
        </w:rPr>
        <w:t>R</w:t>
      </w:r>
      <w:r w:rsidRPr="00DF774B">
        <w:rPr>
          <w:rFonts w:eastAsia="Times New Roman"/>
          <w:i/>
          <w:szCs w:val="28"/>
          <w:lang w:val="ru-RU" w:eastAsia="ru-RU"/>
        </w:rPr>
        <w:t xml:space="preserve">² </w:t>
      </w:r>
      <w:r w:rsidRPr="00DF774B">
        <w:rPr>
          <w:rFonts w:eastAsia="Times New Roman"/>
          <w:i/>
          <w:szCs w:val="28"/>
          <w:vertAlign w:val="superscript"/>
          <w:lang w:val="ru-RU" w:eastAsia="ru-RU"/>
        </w:rPr>
        <w:t xml:space="preserve">) </w:t>
      </w:r>
      <w:r w:rsidRPr="00DF774B">
        <w:rPr>
          <w:rFonts w:eastAsia="Times New Roman"/>
          <w:i/>
          <w:szCs w:val="28"/>
          <w:lang w:val="ru-RU" w:eastAsia="ru-RU"/>
        </w:rPr>
        <w:t xml:space="preserve">— </w:t>
      </w:r>
      <w:r w:rsidRPr="00DF774B">
        <w:rPr>
          <w:rFonts w:eastAsia="Times New Roman"/>
          <w:szCs w:val="28"/>
          <w:lang w:val="ru-RU" w:eastAsia="ru-RU"/>
        </w:rPr>
        <w:t>это отношение объясненной дисперсии в регрессионной модели к общей дисперсии. То есть он показывает, насколько модель объясняет изменчивость данных.</w:t>
      </w:r>
      <m:oMath>
        <m:sSup>
          <m:sSupPr>
            <m:ctrlPr>
              <w:rPr>
                <w:rFonts w:ascii="Cambria Math" w:eastAsia="Times New Roman" w:hAnsi="Cambria Math" w:cs="Cambria Math"/>
                <w:i/>
                <w:szCs w:val="28"/>
                <w:lang w:val="en-US" w:eastAsia="ru-RU"/>
              </w:rPr>
            </m:ctrlPr>
          </m:sSupPr>
          <m:e>
            <m:r>
              <w:rPr>
                <w:rFonts w:ascii="Cambria Math" w:eastAsia="Times New Roman" w:hAnsi="Cambria Math" w:cs="Cambria Math"/>
                <w:szCs w:val="28"/>
                <w:lang w:val="en-US" w:eastAsia="ru-RU"/>
              </w:rPr>
              <m:t>R</m:t>
            </m:r>
          </m:e>
          <m:sup>
            <m:r>
              <w:rPr>
                <w:rFonts w:ascii="Cambria Math" w:eastAsia="Times New Roman" w:hAnsi="Cambria Math" w:cs="Cambria Math"/>
                <w:szCs w:val="28"/>
                <w:lang w:val="ru-RU" w:eastAsia="ru-RU"/>
              </w:rPr>
              <m:t>2</m:t>
            </m:r>
          </m:sup>
        </m:sSup>
        <m:r>
          <m:rPr>
            <m:sty m:val="p"/>
          </m:rPr>
          <w:rPr>
            <w:rFonts w:ascii="Cambria Math" w:eastAsia="Times New Roman" w:hAnsi="Cambria Math" w:cs="Cambria Math"/>
            <w:szCs w:val="28"/>
            <w:lang w:val="ru-RU" w:eastAsia="ru-RU"/>
          </w:rPr>
          <m:t>=</m:t>
        </m:r>
        <m:f>
          <m:fPr>
            <m:ctrlPr>
              <w:rPr>
                <w:rFonts w:ascii="Cambria Math" w:eastAsia="Times New Roman" w:hAnsi="Cambria Math"/>
                <w:szCs w:val="28"/>
                <w:lang w:val="en-US" w:eastAsia="ru-RU"/>
              </w:rPr>
            </m:ctrlPr>
          </m:fPr>
          <m:num>
            <m:sSup>
              <m:sSupPr>
                <m:ctrlPr>
                  <w:rPr>
                    <w:rFonts w:ascii="Cambria Math" w:eastAsia="Times New Roman" w:hAnsi="Cambria Math"/>
                    <w:i/>
                    <w:szCs w:val="28"/>
                    <w:lang w:val="en-US" w:eastAsia="ru-RU"/>
                  </w:rPr>
                </m:ctrlPr>
              </m:sSupPr>
              <m:e>
                <m:nary>
                  <m:naryPr>
                    <m:chr m:val="∑"/>
                    <m:limLoc m:val="undOvr"/>
                    <m:subHide m:val="1"/>
                    <m:supHide m:val="1"/>
                    <m:ctrlPr>
                      <w:rPr>
                        <w:rFonts w:ascii="Cambria Math" w:eastAsia="Times New Roman" w:hAnsi="Cambria Math"/>
                        <w:i/>
                        <w:szCs w:val="28"/>
                        <w:lang w:val="en-US"/>
                      </w:rPr>
                    </m:ctrlPr>
                  </m:naryPr>
                  <m:sub/>
                  <m:sup/>
                  <m:e>
                    <m:r>
                      <w:rPr>
                        <w:rFonts w:ascii="Cambria Math" w:eastAsia="Times New Roman" w:hAnsi="Cambria Math"/>
                        <w:szCs w:val="28"/>
                        <w:lang w:val="ru-RU"/>
                      </w:rPr>
                      <m:t>(</m:t>
                    </m:r>
                    <m:acc>
                      <m:accPr>
                        <m:ctrlPr>
                          <w:rPr>
                            <w:rFonts w:ascii="Cambria Math" w:eastAsia="Times New Roman" w:hAnsi="Cambria Math"/>
                            <w:i/>
                            <w:szCs w:val="28"/>
                            <w:lang w:val="en-US"/>
                          </w:rPr>
                        </m:ctrlPr>
                      </m:accPr>
                      <m:e>
                        <m:sSub>
                          <m:sSubPr>
                            <m:ctrlPr>
                              <w:rPr>
                                <w:rFonts w:ascii="Cambria Math" w:eastAsia="Times New Roman" w:hAnsi="Cambria Math"/>
                                <w:i/>
                                <w:szCs w:val="28"/>
                                <w:lang w:val="en-US"/>
                              </w:rPr>
                            </m:ctrlPr>
                          </m:sSubPr>
                          <m:e>
                            <m:r>
                              <w:rPr>
                                <w:rFonts w:ascii="Cambria Math" w:eastAsia="Times New Roman" w:hAnsi="Cambria Math"/>
                                <w:szCs w:val="28"/>
                                <w:lang w:val="en-US"/>
                              </w:rPr>
                              <m:t>y</m:t>
                            </m:r>
                          </m:e>
                          <m:sub>
                            <m:r>
                              <w:rPr>
                                <w:rFonts w:ascii="Cambria Math" w:eastAsia="Times New Roman" w:hAnsi="Cambria Math"/>
                                <w:szCs w:val="28"/>
                                <w:lang w:val="en-US"/>
                              </w:rPr>
                              <m:t>i</m:t>
                            </m:r>
                          </m:sub>
                        </m:sSub>
                      </m:e>
                    </m:acc>
                  </m:e>
                </m:nary>
                <m:r>
                  <w:rPr>
                    <w:rFonts w:ascii="Cambria Math" w:eastAsia="Times New Roman" w:hAnsi="Cambria Math"/>
                    <w:szCs w:val="28"/>
                    <w:lang w:val="ru-RU"/>
                  </w:rPr>
                  <m:t xml:space="preserve">- </m:t>
                </m:r>
                <m:acc>
                  <m:accPr>
                    <m:chr m:val="̅"/>
                    <m:ctrlPr>
                      <w:rPr>
                        <w:rFonts w:ascii="Cambria Math" w:eastAsia="Times New Roman" w:hAnsi="Cambria Math"/>
                        <w:i/>
                        <w:szCs w:val="28"/>
                        <w:lang w:val="en-US"/>
                      </w:rPr>
                    </m:ctrlPr>
                  </m:accPr>
                  <m:e>
                    <m:r>
                      <w:rPr>
                        <w:rFonts w:ascii="Cambria Math" w:eastAsia="Times New Roman" w:hAnsi="Cambria Math"/>
                        <w:szCs w:val="28"/>
                        <w:lang w:val="en-US"/>
                      </w:rPr>
                      <m:t>y</m:t>
                    </m:r>
                  </m:e>
                </m:acc>
                <m:r>
                  <w:rPr>
                    <w:rFonts w:ascii="Cambria Math" w:eastAsia="Times New Roman" w:hAnsi="Cambria Math"/>
                    <w:szCs w:val="28"/>
                    <w:lang w:val="ru-RU"/>
                  </w:rPr>
                  <m:t>)</m:t>
                </m:r>
              </m:e>
              <m:sup>
                <m:r>
                  <w:rPr>
                    <w:rFonts w:ascii="Cambria Math" w:eastAsia="Times New Roman" w:hAnsi="Cambria Math"/>
                    <w:szCs w:val="28"/>
                    <w:lang w:val="ru-RU"/>
                  </w:rPr>
                  <m:t>2</m:t>
                </m:r>
              </m:sup>
            </m:sSup>
          </m:num>
          <m:den>
            <m:nary>
              <m:naryPr>
                <m:chr m:val="∑"/>
                <m:limLoc m:val="undOvr"/>
                <m:subHide m:val="1"/>
                <m:supHide m:val="1"/>
                <m:ctrlPr>
                  <w:rPr>
                    <w:rFonts w:ascii="Cambria Math" w:eastAsia="Times New Roman" w:hAnsi="Cambria Math" w:cs="Cambria Math"/>
                    <w:szCs w:val="28"/>
                    <w:lang w:val="en-US" w:eastAsia="ru-RU"/>
                  </w:rPr>
                </m:ctrlPr>
              </m:naryPr>
              <m:sub/>
              <m:sup/>
              <m:e>
                <m:sSup>
                  <m:sSupPr>
                    <m:ctrlPr>
                      <w:rPr>
                        <w:rFonts w:ascii="Cambria Math" w:eastAsia="Times New Roman" w:hAnsi="Cambria Math" w:cs="Cambria Math"/>
                        <w:szCs w:val="28"/>
                        <w:lang w:val="en-US" w:eastAsia="ru-RU"/>
                      </w:rPr>
                    </m:ctrlPr>
                  </m:sSupPr>
                  <m:e>
                    <m:d>
                      <m:dPr>
                        <m:ctrlPr>
                          <w:rPr>
                            <w:rFonts w:ascii="Cambria Math" w:eastAsia="Times New Roman" w:hAnsi="Cambria Math" w:cs="Cambria Math"/>
                            <w:szCs w:val="28"/>
                            <w:lang w:val="en-US"/>
                          </w:rPr>
                        </m:ctrlPr>
                      </m:dPr>
                      <m:e>
                        <m:sSub>
                          <m:sSubPr>
                            <m:ctrlPr>
                              <w:rPr>
                                <w:rFonts w:ascii="Cambria Math" w:eastAsia="Times New Roman" w:hAnsi="Cambria Math" w:cs="Cambria Math"/>
                                <w:szCs w:val="28"/>
                                <w:lang w:val="en-US"/>
                              </w:rPr>
                            </m:ctrlPr>
                          </m:sSubPr>
                          <m:e>
                            <m:r>
                              <w:rPr>
                                <w:rFonts w:ascii="Cambria Math" w:eastAsia="Times New Roman" w:hAnsi="Cambria Math" w:cs="Cambria Math"/>
                                <w:szCs w:val="28"/>
                                <w:lang w:val="en-US"/>
                              </w:rPr>
                              <m:t>y</m:t>
                            </m:r>
                          </m:e>
                          <m:sub>
                            <m:r>
                              <w:rPr>
                                <w:rFonts w:ascii="Cambria Math" w:eastAsia="Times New Roman" w:hAnsi="Cambria Math" w:cs="Cambria Math"/>
                                <w:szCs w:val="28"/>
                                <w:lang w:val="en-US"/>
                              </w:rPr>
                              <m:t>i</m:t>
                            </m:r>
                          </m:sub>
                        </m:sSub>
                        <m:r>
                          <w:rPr>
                            <w:rFonts w:ascii="Cambria Math" w:eastAsia="Times New Roman" w:hAnsi="Cambria Math" w:cs="Cambria Math"/>
                            <w:szCs w:val="28"/>
                            <w:lang w:val="ru-RU"/>
                          </w:rPr>
                          <m:t xml:space="preserve">- </m:t>
                        </m:r>
                        <m:acc>
                          <m:accPr>
                            <m:chr m:val="̅"/>
                            <m:ctrlPr>
                              <w:rPr>
                                <w:rFonts w:ascii="Cambria Math" w:eastAsia="Times New Roman" w:hAnsi="Cambria Math" w:cs="Cambria Math"/>
                                <w:i/>
                                <w:szCs w:val="28"/>
                                <w:lang w:val="en-US"/>
                              </w:rPr>
                            </m:ctrlPr>
                          </m:accPr>
                          <m:e>
                            <m:r>
                              <w:rPr>
                                <w:rFonts w:ascii="Cambria Math" w:eastAsia="Times New Roman" w:hAnsi="Cambria Math" w:cs="Cambria Math"/>
                                <w:szCs w:val="28"/>
                                <w:lang w:val="en-US"/>
                              </w:rPr>
                              <m:t>y</m:t>
                            </m:r>
                          </m:e>
                        </m:acc>
                        <m:ctrlPr>
                          <w:rPr>
                            <w:rFonts w:ascii="Cambria Math" w:eastAsia="Times New Roman" w:hAnsi="Cambria Math" w:cs="Cambria Math"/>
                            <w:i/>
                            <w:szCs w:val="28"/>
                            <w:lang w:val="en-US"/>
                          </w:rPr>
                        </m:ctrlPr>
                      </m:e>
                    </m:d>
                  </m:e>
                  <m:sup>
                    <m:r>
                      <m:rPr>
                        <m:sty m:val="p"/>
                      </m:rPr>
                      <w:rPr>
                        <w:rFonts w:ascii="Cambria Math" w:eastAsia="Times New Roman" w:hAnsi="Cambria Math" w:cs="Cambria Math"/>
                        <w:szCs w:val="28"/>
                        <w:lang w:val="ru-RU"/>
                      </w:rPr>
                      <m:t>2</m:t>
                    </m:r>
                  </m:sup>
                </m:sSup>
              </m:e>
            </m:nary>
          </m:den>
        </m:f>
      </m:oMath>
    </w:p>
    <w:p w:rsidR="00B36355"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i/>
          <w:szCs w:val="28"/>
          <w:lang w:val="ru-RU" w:eastAsia="ru-RU"/>
        </w:rPr>
        <w:t xml:space="preserve">Скорректированный коэффициент детерминации </w:t>
      </w:r>
      <w:r w:rsidRPr="000051DA">
        <w:rPr>
          <w:rFonts w:eastAsia="Times New Roman"/>
          <w:i/>
          <w:szCs w:val="28"/>
          <w:lang w:val="en-US" w:eastAsia="ru-RU"/>
        </w:rPr>
        <w:t>R</w:t>
      </w:r>
      <w:r w:rsidRPr="00DF774B">
        <w:rPr>
          <w:rFonts w:eastAsia="Times New Roman"/>
          <w:i/>
          <w:szCs w:val="28"/>
          <w:lang w:val="ru-RU" w:eastAsia="ru-RU"/>
        </w:rPr>
        <w:t xml:space="preserve">² </w:t>
      </w:r>
      <w:r w:rsidRPr="00DF774B">
        <w:rPr>
          <w:rFonts w:eastAsia="Times New Roman"/>
          <w:szCs w:val="28"/>
          <w:lang w:val="ru-RU" w:eastAsia="ru-RU"/>
        </w:rPr>
        <w:t xml:space="preserve">— это скорректированная версия показателя </w:t>
      </w:r>
      <w:r w:rsidRPr="00EB470B">
        <w:rPr>
          <w:rFonts w:eastAsia="Times New Roman"/>
          <w:szCs w:val="28"/>
          <w:lang w:val="en-US" w:eastAsia="ru-RU"/>
        </w:rPr>
        <w:t>R</w:t>
      </w:r>
      <w:r w:rsidRPr="00DF774B">
        <w:rPr>
          <w:rFonts w:eastAsia="Times New Roman"/>
          <w:szCs w:val="28"/>
          <w:lang w:val="ru-RU" w:eastAsia="ru-RU"/>
        </w:rPr>
        <w:t>², учитывающая количество переменных, включенных в модель.</w:t>
      </w:r>
      <m:oMath>
        <m:sSup>
          <m:sSupPr>
            <m:ctrlPr>
              <w:rPr>
                <w:rFonts w:ascii="Cambria Math" w:eastAsia="Times New Roman" w:hAnsi="Cambria Math" w:cs="Cambria Math"/>
                <w:i/>
                <w:szCs w:val="28"/>
                <w:lang w:val="en-US" w:eastAsia="ru-RU"/>
              </w:rPr>
            </m:ctrlPr>
          </m:sSupPr>
          <m:e>
            <m:r>
              <w:rPr>
                <w:rFonts w:ascii="Cambria Math" w:eastAsia="Times New Roman" w:hAnsi="Cambria Math" w:cs="Cambria Math"/>
                <w:szCs w:val="28"/>
                <w:lang w:val="en-US" w:eastAsia="ru-RU"/>
              </w:rPr>
              <m:t>R</m:t>
            </m:r>
          </m:e>
          <m:sup>
            <m:r>
              <w:rPr>
                <w:rFonts w:ascii="Cambria Math" w:eastAsia="Times New Roman" w:hAnsi="Cambria Math" w:cs="Cambria Math"/>
                <w:szCs w:val="28"/>
                <w:lang w:val="ru-RU" w:eastAsia="ru-RU"/>
              </w:rPr>
              <m:t>2</m:t>
            </m:r>
          </m:sup>
        </m:sSup>
        <m:r>
          <m:rPr>
            <m:sty m:val="p"/>
          </m:rPr>
          <w:rPr>
            <w:rFonts w:ascii="Cambria Math" w:eastAsia="Times New Roman" w:hAnsi="Cambria Math" w:cs="Cambria Math"/>
            <w:szCs w:val="28"/>
            <w:lang w:val="ru-RU" w:eastAsia="ru-RU"/>
          </w:rPr>
          <m:t>=</m:t>
        </m:r>
        <m:r>
          <m:rPr>
            <m:sty m:val="p"/>
          </m:rPr>
          <w:rPr>
            <w:rFonts w:ascii="Cambria Math" w:eastAsia="Times New Roman" w:hAnsi="Cambria Math"/>
            <w:szCs w:val="28"/>
            <w:lang w:val="ru-RU" w:eastAsia="ru-RU"/>
          </w:rPr>
          <m:t>1-</m:t>
        </m:r>
        <m:f>
          <m:fPr>
            <m:ctrlPr>
              <w:rPr>
                <w:rFonts w:ascii="Cambria Math" w:eastAsia="Times New Roman" w:hAnsi="Cambria Math"/>
                <w:szCs w:val="28"/>
                <w:lang w:val="en-US" w:eastAsia="ru-RU"/>
              </w:rPr>
            </m:ctrlPr>
          </m:fPr>
          <m:num>
            <m:f>
              <m:fPr>
                <m:ctrlPr>
                  <w:rPr>
                    <w:rFonts w:ascii="Cambria Math" w:eastAsia="Times New Roman" w:hAnsi="Cambria Math"/>
                    <w:i/>
                    <w:szCs w:val="28"/>
                    <w:lang w:val="en-US" w:eastAsia="ru-RU"/>
                  </w:rPr>
                </m:ctrlPr>
              </m:fPr>
              <m:num>
                <m:sSup>
                  <m:sSupPr>
                    <m:ctrlPr>
                      <w:rPr>
                        <w:rFonts w:ascii="Cambria Math" w:eastAsia="Times New Roman" w:hAnsi="Cambria Math"/>
                        <w:i/>
                        <w:szCs w:val="28"/>
                        <w:lang w:val="en-US" w:eastAsia="ru-RU"/>
                      </w:rPr>
                    </m:ctrlPr>
                  </m:sSupPr>
                  <m:e>
                    <m:nary>
                      <m:naryPr>
                        <m:chr m:val="∑"/>
                        <m:limLoc m:val="undOvr"/>
                        <m:subHide m:val="1"/>
                        <m:supHide m:val="1"/>
                        <m:ctrlPr>
                          <w:rPr>
                            <w:rFonts w:ascii="Cambria Math" w:eastAsia="Times New Roman" w:hAnsi="Cambria Math"/>
                            <w:i/>
                            <w:szCs w:val="28"/>
                            <w:lang w:val="en-US"/>
                          </w:rPr>
                        </m:ctrlPr>
                      </m:naryPr>
                      <m:sub/>
                      <m:sup/>
                      <m:e>
                        <m:d>
                          <m:dPr>
                            <m:ctrlPr>
                              <w:rPr>
                                <w:rFonts w:ascii="Cambria Math" w:eastAsia="Times New Roman" w:hAnsi="Cambria Math"/>
                                <w:i/>
                                <w:szCs w:val="28"/>
                                <w:lang w:val="en-US"/>
                              </w:rPr>
                            </m:ctrlPr>
                          </m:dPr>
                          <m:e>
                            <m:sSub>
                              <m:sSubPr>
                                <m:ctrlPr>
                                  <w:rPr>
                                    <w:rFonts w:ascii="Cambria Math" w:eastAsia="Times New Roman" w:hAnsi="Cambria Math"/>
                                    <w:i/>
                                    <w:szCs w:val="28"/>
                                    <w:lang w:val="en-US"/>
                                  </w:rPr>
                                </m:ctrlPr>
                              </m:sSubPr>
                              <m:e>
                                <m:r>
                                  <w:rPr>
                                    <w:rFonts w:ascii="Cambria Math" w:eastAsia="Times New Roman" w:hAnsi="Cambria Math"/>
                                    <w:szCs w:val="28"/>
                                    <w:lang w:val="en-US"/>
                                  </w:rPr>
                                  <m:t>y</m:t>
                                </m:r>
                              </m:e>
                              <m:sub>
                                <m:r>
                                  <w:rPr>
                                    <w:rFonts w:ascii="Cambria Math" w:eastAsia="Times New Roman" w:hAnsi="Cambria Math"/>
                                    <w:szCs w:val="28"/>
                                    <w:lang w:val="en-US"/>
                                  </w:rPr>
                                  <m:t>i</m:t>
                                </m:r>
                              </m:sub>
                            </m:sSub>
                            <m:r>
                              <w:rPr>
                                <w:rFonts w:ascii="Cambria Math" w:eastAsia="Times New Roman" w:hAnsi="Cambria Math"/>
                                <w:szCs w:val="28"/>
                                <w:lang w:val="ru-RU"/>
                              </w:rPr>
                              <m:t xml:space="preserve">- </m:t>
                            </m:r>
                            <m:acc>
                              <m:accPr>
                                <m:ctrlPr>
                                  <w:rPr>
                                    <w:rFonts w:ascii="Cambria Math" w:eastAsia="Times New Roman" w:hAnsi="Cambria Math"/>
                                    <w:i/>
                                    <w:szCs w:val="28"/>
                                    <w:lang w:val="en-US"/>
                                  </w:rPr>
                                </m:ctrlPr>
                              </m:accPr>
                              <m:e>
                                <m:sSub>
                                  <m:sSubPr>
                                    <m:ctrlPr>
                                      <w:rPr>
                                        <w:rFonts w:ascii="Cambria Math" w:eastAsia="Times New Roman" w:hAnsi="Cambria Math"/>
                                        <w:i/>
                                        <w:szCs w:val="28"/>
                                        <w:lang w:val="en-US"/>
                                      </w:rPr>
                                    </m:ctrlPr>
                                  </m:sSubPr>
                                  <m:e>
                                    <m:r>
                                      <w:rPr>
                                        <w:rFonts w:ascii="Cambria Math" w:eastAsia="Times New Roman" w:hAnsi="Cambria Math"/>
                                        <w:szCs w:val="28"/>
                                        <w:lang w:val="en-US"/>
                                      </w:rPr>
                                      <m:t>y</m:t>
                                    </m:r>
                                  </m:e>
                                  <m:sub>
                                    <m:r>
                                      <w:rPr>
                                        <w:rFonts w:ascii="Cambria Math" w:eastAsia="Times New Roman" w:hAnsi="Cambria Math"/>
                                        <w:szCs w:val="28"/>
                                        <w:lang w:val="en-US"/>
                                      </w:rPr>
                                      <m:t>i</m:t>
                                    </m:r>
                                  </m:sub>
                                </m:sSub>
                              </m:e>
                            </m:acc>
                          </m:e>
                        </m:d>
                      </m:e>
                    </m:nary>
                  </m:e>
                  <m:sup>
                    <m:r>
                      <w:rPr>
                        <w:rFonts w:ascii="Cambria Math" w:eastAsia="Times New Roman" w:hAnsi="Cambria Math"/>
                        <w:szCs w:val="28"/>
                        <w:lang w:val="ru-RU"/>
                      </w:rPr>
                      <m:t>2</m:t>
                    </m:r>
                  </m:sup>
                </m:sSup>
              </m:num>
              <m:den>
                <m:r>
                  <w:rPr>
                    <w:rFonts w:ascii="Cambria Math" w:eastAsia="Times New Roman" w:hAnsi="Cambria Math"/>
                    <w:szCs w:val="28"/>
                    <w:lang w:val="en-US" w:eastAsia="ru-RU"/>
                  </w:rPr>
                  <m:t>n</m:t>
                </m:r>
                <m:r>
                  <w:rPr>
                    <w:rFonts w:ascii="Cambria Math" w:eastAsia="Times New Roman" w:hAnsi="Cambria Math"/>
                    <w:szCs w:val="28"/>
                    <w:lang w:val="ru-RU" w:eastAsia="ru-RU"/>
                  </w:rPr>
                  <m:t>-</m:t>
                </m:r>
                <m:r>
                  <w:rPr>
                    <w:rFonts w:ascii="Cambria Math" w:eastAsia="Times New Roman" w:hAnsi="Cambria Math"/>
                    <w:szCs w:val="28"/>
                    <w:lang w:val="en-US" w:eastAsia="ru-RU"/>
                  </w:rPr>
                  <m:t>k</m:t>
                </m:r>
              </m:den>
            </m:f>
          </m:num>
          <m:den>
            <m:f>
              <m:fPr>
                <m:ctrlPr>
                  <w:rPr>
                    <w:rFonts w:ascii="Cambria Math" w:eastAsia="Times New Roman" w:hAnsi="Cambria Math"/>
                    <w:i/>
                    <w:szCs w:val="28"/>
                    <w:lang w:val="en-US" w:eastAsia="ru-RU"/>
                  </w:rPr>
                </m:ctrlPr>
              </m:fPr>
              <m:num>
                <m:nary>
                  <m:naryPr>
                    <m:chr m:val="∑"/>
                    <m:limLoc m:val="undOvr"/>
                    <m:subHide m:val="1"/>
                    <m:supHide m:val="1"/>
                    <m:ctrlPr>
                      <w:rPr>
                        <w:rFonts w:ascii="Cambria Math" w:eastAsia="Times New Roman" w:hAnsi="Cambria Math"/>
                        <w:i/>
                        <w:szCs w:val="28"/>
                        <w:lang w:val="en-US" w:eastAsia="ru-RU"/>
                      </w:rPr>
                    </m:ctrlPr>
                  </m:naryPr>
                  <m:sub/>
                  <m:sup/>
                  <m:e>
                    <m:sSup>
                      <m:sSupPr>
                        <m:ctrlPr>
                          <w:rPr>
                            <w:rFonts w:ascii="Cambria Math" w:eastAsia="Times New Roman" w:hAnsi="Cambria Math"/>
                            <w:i/>
                            <w:szCs w:val="28"/>
                            <w:lang w:val="en-US" w:eastAsia="ru-RU"/>
                          </w:rPr>
                        </m:ctrlPr>
                      </m:sSupPr>
                      <m:e>
                        <m:d>
                          <m:dPr>
                            <m:ctrlPr>
                              <w:rPr>
                                <w:rFonts w:ascii="Cambria Math" w:eastAsia="Times New Roman" w:hAnsi="Cambria Math"/>
                                <w:i/>
                                <w:szCs w:val="28"/>
                                <w:lang w:val="en-US"/>
                              </w:rPr>
                            </m:ctrlPr>
                          </m:dPr>
                          <m:e>
                            <m:sSub>
                              <m:sSubPr>
                                <m:ctrlPr>
                                  <w:rPr>
                                    <w:rFonts w:ascii="Cambria Math" w:eastAsia="Times New Roman" w:hAnsi="Cambria Math"/>
                                    <w:i/>
                                    <w:szCs w:val="28"/>
                                    <w:lang w:val="en-US"/>
                                  </w:rPr>
                                </m:ctrlPr>
                              </m:sSubPr>
                              <m:e>
                                <m:r>
                                  <w:rPr>
                                    <w:rFonts w:ascii="Cambria Math" w:eastAsia="Times New Roman" w:hAnsi="Cambria Math"/>
                                    <w:szCs w:val="28"/>
                                    <w:lang w:val="en-US"/>
                                  </w:rPr>
                                  <m:t>y</m:t>
                                </m:r>
                              </m:e>
                              <m:sub>
                                <m:r>
                                  <w:rPr>
                                    <w:rFonts w:ascii="Cambria Math" w:eastAsia="Times New Roman" w:hAnsi="Cambria Math"/>
                                    <w:szCs w:val="28"/>
                                    <w:lang w:val="en-US"/>
                                  </w:rPr>
                                  <m:t>i</m:t>
                                </m:r>
                              </m:sub>
                            </m:sSub>
                            <m:r>
                              <w:rPr>
                                <w:rFonts w:ascii="Cambria Math" w:eastAsia="Times New Roman" w:hAnsi="Cambria Math"/>
                                <w:szCs w:val="28"/>
                                <w:lang w:val="ru-RU"/>
                              </w:rPr>
                              <m:t xml:space="preserve">- </m:t>
                            </m:r>
                            <m:acc>
                              <m:accPr>
                                <m:chr m:val="̅"/>
                                <m:ctrlPr>
                                  <w:rPr>
                                    <w:rFonts w:ascii="Cambria Math" w:eastAsia="Times New Roman" w:hAnsi="Cambria Math"/>
                                    <w:i/>
                                    <w:szCs w:val="28"/>
                                    <w:lang w:val="en-US"/>
                                  </w:rPr>
                                </m:ctrlPr>
                              </m:accPr>
                              <m:e>
                                <m:r>
                                  <w:rPr>
                                    <w:rFonts w:ascii="Cambria Math" w:eastAsia="Times New Roman" w:hAnsi="Cambria Math"/>
                                    <w:szCs w:val="28"/>
                                    <w:lang w:val="en-US"/>
                                  </w:rPr>
                                  <m:t>y</m:t>
                                </m:r>
                              </m:e>
                            </m:acc>
                          </m:e>
                        </m:d>
                      </m:e>
                      <m:sup>
                        <m:r>
                          <w:rPr>
                            <w:rFonts w:ascii="Cambria Math" w:eastAsia="Times New Roman" w:hAnsi="Cambria Math"/>
                            <w:szCs w:val="28"/>
                            <w:lang w:val="ru-RU"/>
                          </w:rPr>
                          <m:t>2</m:t>
                        </m:r>
                      </m:sup>
                    </m:sSup>
                  </m:e>
                </m:nary>
              </m:num>
              <m:den>
                <m:r>
                  <w:rPr>
                    <w:rFonts w:ascii="Cambria Math" w:eastAsia="Times New Roman" w:hAnsi="Cambria Math"/>
                    <w:szCs w:val="28"/>
                    <w:lang w:val="en-US" w:eastAsia="ru-RU"/>
                  </w:rPr>
                  <m:t>n</m:t>
                </m:r>
                <m:r>
                  <w:rPr>
                    <w:rFonts w:ascii="Cambria Math" w:eastAsia="Times New Roman" w:hAnsi="Cambria Math"/>
                    <w:szCs w:val="28"/>
                    <w:lang w:val="ru-RU" w:eastAsia="ru-RU"/>
                  </w:rPr>
                  <m:t>-1</m:t>
                </m:r>
              </m:den>
            </m:f>
          </m:den>
        </m:f>
      </m:oMath>
    </w:p>
    <w:p w:rsidR="009249CD" w:rsidRPr="00DF774B" w:rsidRDefault="00B36355" w:rsidP="00B36355">
      <w:pPr>
        <w:spacing w:after="0" w:line="360" w:lineRule="auto"/>
        <w:ind w:firstLine="708"/>
        <w:jc w:val="both"/>
        <w:rPr>
          <w:rFonts w:eastAsia="Times New Roman"/>
          <w:szCs w:val="28"/>
          <w:lang w:val="ru-RU" w:eastAsia="ru-RU"/>
        </w:rPr>
      </w:pPr>
      <w:r w:rsidRPr="00DF774B">
        <w:rPr>
          <w:rFonts w:eastAsia="Times New Roman"/>
          <w:szCs w:val="28"/>
          <w:lang w:val="ru-RU" w:eastAsia="ru-RU"/>
        </w:rPr>
        <w:t xml:space="preserve">Скорректированный коэффициент детерминации используется при выборе модели, то есть оценивает качество данной модели. </w:t>
      </w:r>
      <w:r w:rsidRPr="00DF774B">
        <w:rPr>
          <w:rFonts w:eastAsia="Times New Roman"/>
          <w:bCs/>
          <w:i/>
          <w:szCs w:val="28"/>
          <w:lang w:val="ru-RU" w:eastAsia="ru-RU"/>
        </w:rPr>
        <w:t>Среднеквадратичная ошибка (</w:t>
      </w:r>
      <w:r w:rsidRPr="000051DA">
        <w:rPr>
          <w:rFonts w:eastAsia="Times New Roman"/>
          <w:bCs/>
          <w:i/>
          <w:szCs w:val="28"/>
          <w:lang w:val="en-US" w:eastAsia="ru-RU"/>
        </w:rPr>
        <w:t>Root</w:t>
      </w:r>
      <w:r w:rsidRPr="00DF774B">
        <w:rPr>
          <w:rFonts w:eastAsia="Times New Roman"/>
          <w:bCs/>
          <w:i/>
          <w:szCs w:val="28"/>
          <w:lang w:val="ru-RU" w:eastAsia="ru-RU"/>
        </w:rPr>
        <w:t xml:space="preserve"> </w:t>
      </w:r>
      <w:r w:rsidRPr="000051DA">
        <w:rPr>
          <w:rFonts w:eastAsia="Times New Roman"/>
          <w:bCs/>
          <w:i/>
          <w:szCs w:val="28"/>
          <w:lang w:val="en-US" w:eastAsia="ru-RU"/>
        </w:rPr>
        <w:t>MSE</w:t>
      </w:r>
      <w:r w:rsidRPr="00DF774B">
        <w:rPr>
          <w:rFonts w:eastAsia="Times New Roman"/>
          <w:bCs/>
          <w:i/>
          <w:szCs w:val="28"/>
          <w:lang w:val="ru-RU" w:eastAsia="ru-RU"/>
        </w:rPr>
        <w:t xml:space="preserve">) </w:t>
      </w:r>
      <w:r w:rsidRPr="00DF774B">
        <w:rPr>
          <w:rFonts w:eastAsia="Times New Roman"/>
          <w:bCs/>
          <w:szCs w:val="28"/>
          <w:lang w:val="ru-RU" w:eastAsia="ru-RU"/>
        </w:rPr>
        <w:t xml:space="preserve">= 0,1295 </w:t>
      </w:r>
      <w:r w:rsidRPr="00DF774B">
        <w:rPr>
          <w:rFonts w:eastAsia="Times New Roman"/>
          <w:szCs w:val="28"/>
          <w:lang w:val="ru-RU" w:eastAsia="ru-RU"/>
        </w:rPr>
        <w:t xml:space="preserve">, что означает, что средняя </w:t>
      </w:r>
      <w:r w:rsidRPr="00DF774B">
        <w:rPr>
          <w:rFonts w:eastAsia="Times New Roman"/>
          <w:szCs w:val="28"/>
          <w:lang w:val="ru-RU" w:eastAsia="ru-RU"/>
        </w:rPr>
        <w:lastRenderedPageBreak/>
        <w:t>ошибка в модели невелика. Все это свидетельствует о надежности и точности модели.</w:t>
      </w:r>
    </w:p>
    <w:p w:rsidR="00107C58" w:rsidRDefault="00107C58" w:rsidP="00107C58">
      <w:pPr>
        <w:spacing w:after="0" w:line="360" w:lineRule="auto"/>
        <w:jc w:val="center"/>
        <w:rPr>
          <w:b/>
          <w:bCs/>
          <w:kern w:val="0"/>
          <w:szCs w:val="28"/>
          <w:lang w:val="uz-Cyrl-UZ"/>
        </w:rPr>
      </w:pPr>
      <w:r w:rsidRPr="00107C58">
        <w:rPr>
          <w:b/>
          <w:bCs/>
          <w:kern w:val="0"/>
          <w:szCs w:val="28"/>
          <w:lang w:val="uz-Cyrl-UZ"/>
        </w:rPr>
        <w:t>§ 2.2 Экономические аспекты привлечения иностранных инвестиций в сельскохозяйственный сектор</w:t>
      </w:r>
      <w:r w:rsidRPr="00DF774B">
        <w:rPr>
          <w:b/>
          <w:bCs/>
          <w:kern w:val="0"/>
          <w:szCs w:val="28"/>
          <w:lang w:val="ru-RU"/>
        </w:rPr>
        <w:t xml:space="preserve"> </w:t>
      </w:r>
      <w:r w:rsidRPr="00107C58">
        <w:rPr>
          <w:b/>
          <w:bCs/>
          <w:kern w:val="0"/>
          <w:szCs w:val="28"/>
          <w:lang w:val="uz-Cyrl-UZ"/>
        </w:rPr>
        <w:t>анализ финансового состояния</w:t>
      </w:r>
    </w:p>
    <w:p w:rsidR="007C66ED" w:rsidRPr="007C66ED" w:rsidRDefault="007C66ED" w:rsidP="007C66ED">
      <w:pPr>
        <w:widowControl w:val="0"/>
        <w:spacing w:after="0" w:line="360" w:lineRule="auto"/>
        <w:ind w:firstLine="708"/>
        <w:jc w:val="both"/>
        <w:rPr>
          <w:szCs w:val="28"/>
          <w:lang w:val="uz-Cyrl-UZ"/>
        </w:rPr>
      </w:pPr>
      <w:r w:rsidRPr="007C66ED">
        <w:rPr>
          <w:szCs w:val="28"/>
          <w:lang w:val="uz-Cyrl-UZ"/>
        </w:rPr>
        <w:t>Сельское хозяйство предоставляет инвестиционные возможности для экономического развития Республики Узбекистан, способствует обеспечению внутреннего рынка страны продовольствием, разработке стратегии развития экспортного потенциала и играет важную роль в развитии бизнеса. Это развитие в значительной степени поддерживается развитием простых и современных технологий, развитием самостоятельности, модернизацией рынков сбыта и интеграцией комплексных ресурсов.</w:t>
      </w:r>
    </w:p>
    <w:p w:rsidR="009249CD" w:rsidRPr="00BB0544" w:rsidRDefault="007C66ED" w:rsidP="007C66ED">
      <w:pPr>
        <w:widowControl w:val="0"/>
        <w:spacing w:after="0" w:line="360" w:lineRule="auto"/>
        <w:ind w:firstLine="708"/>
        <w:jc w:val="both"/>
        <w:rPr>
          <w:szCs w:val="28"/>
          <w:lang w:val="uz-Cyrl-UZ"/>
        </w:rPr>
      </w:pPr>
      <w:r w:rsidRPr="007C66ED">
        <w:rPr>
          <w:szCs w:val="28"/>
          <w:lang w:val="uz-Cyrl-UZ"/>
        </w:rPr>
        <w:t>В последние годы усилия страны по содействию политическому и экономическому развитию были организованы посредством интеграции государственных интересов. Правительственные постановления, нигерийские банки, суверенные фонды и частные инвесторы изучают механизмы финансирования капитала. Особое внимание уделяется таким продуктам, как хлопок, овощи, фрукты, а также развитию современных питомников, животноводческих и птицеводческих комплексов и лесозаготовительной промышленности.</w:t>
      </w:r>
    </w:p>
    <w:p w:rsidR="009249CD" w:rsidRDefault="00F50397" w:rsidP="009249CD">
      <w:pPr>
        <w:widowControl w:val="0"/>
        <w:spacing w:after="0" w:line="360" w:lineRule="auto"/>
        <w:jc w:val="both"/>
        <w:rPr>
          <w:szCs w:val="28"/>
          <w:lang w:val="en-US"/>
        </w:rPr>
      </w:pPr>
      <w:r w:rsidRPr="005377B4">
        <w:rPr>
          <w:noProof/>
          <w:lang w:val="ru-RU" w:eastAsia="ru-RU"/>
        </w:rPr>
        <w:drawing>
          <wp:inline distT="0" distB="0" distL="0" distR="0">
            <wp:extent cx="5943600" cy="1981200"/>
            <wp:effectExtent l="0" t="0" r="0" b="0"/>
            <wp:docPr id="25" name="Рисунок 118" descr="qishloq-xojaligi-yalpi-ichki-mahsulotdagi-ulush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descr="qishloq-xojaligi-yalpi-ichki-mahsulotdagi-ulushi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rsidR="009249CD" w:rsidRPr="00DF774B" w:rsidRDefault="0012517D" w:rsidP="009249CD">
      <w:pPr>
        <w:widowControl w:val="0"/>
        <w:spacing w:after="0"/>
        <w:ind w:firstLine="708"/>
        <w:jc w:val="center"/>
        <w:rPr>
          <w:b/>
          <w:lang w:val="ru-RU"/>
        </w:rPr>
      </w:pPr>
      <w:r w:rsidRPr="00DF774B">
        <w:rPr>
          <w:b/>
          <w:szCs w:val="28"/>
          <w:lang w:val="ru-RU"/>
        </w:rPr>
        <w:t xml:space="preserve">2.3 </w:t>
      </w:r>
      <w:r w:rsidR="009249CD" w:rsidRPr="00DF774B">
        <w:rPr>
          <w:b/>
          <w:szCs w:val="28"/>
          <w:lang w:val="ru-RU"/>
        </w:rPr>
        <w:t>. Доля сельского хозяйства, лесного хозяйства и рыболовства в ВВП Узбекистана (в процентах)</w:t>
      </w:r>
      <w:r w:rsidR="009249CD">
        <w:rPr>
          <w:rStyle w:val="af0"/>
          <w:b/>
          <w:lang w:val="en-US"/>
        </w:rPr>
        <w:footnoteReference w:id="31"/>
      </w:r>
    </w:p>
    <w:p w:rsidR="007C66ED" w:rsidRPr="00DF774B" w:rsidRDefault="007C66ED" w:rsidP="007C66ED">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Как видно из графика, население Узбекистана стабильно росло в течение </w:t>
      </w:r>
      <w:r w:rsidRPr="00DF774B">
        <w:rPr>
          <w:rFonts w:eastAsia="Times New Roman"/>
          <w:kern w:val="0"/>
          <w:szCs w:val="28"/>
          <w:lang w:val="ru-RU" w:eastAsia="ru-RU"/>
        </w:rPr>
        <w:lastRenderedPageBreak/>
        <w:t>последних пяти лет. Если в 2020 году этот показатель составлял 24,1%, то к 2024 году он снизится до 19,2%, или в 4,9 раза. Это снижение составит, по одному из текстов, менее 1 процентного пункта в год. Такая ситуация не случайна, а является результатом глубоких структурных изменений, происходящих в стране. Кратко говоря о валовом внутреннем продукте (ВВП) страны, стоит отметить, что экономика страны испытывает множество других проблем, таких как промышленность и сфера услуг. Это отражает структурные изменения в экономике, то есть переход от аграрной экономической модели к анализу промышленно-сферных услуг. Этот процесс характеризовался естественной дифференциацией, экономической диверсификацией, технологическими инновациями и посекторальным перераспределением для экономики рассматриваемого периода. Соответственно, хотя абсолютная доля сельского хозяйства продолжает расти, его относительный вес уменьшается на фоне общего экономического роста. Это общее правило, известное из экономического опыта: с экономическим развитием страны доля сельского хозяйства в ВВП уменьшается, хотя его абсолютный объем может увеличиваться. Это само по себе создает необходимость повышения производительности труда в сельском хозяйстве. Темпы роста в 2020-2024 годах (1,2% в год) ожидаются в период среднего роста экономик, что в основном обусловлено недостатком усилий по совершенствованию экономических преобразований. С другой стороны, эти показатели свидетельствуют о наличии проблем в сельскохозяйственном секторе и смежных отраслях в стране. В частности, необходимо решать такие вопросы, как сельская рабочая сила, уровень модернизации и доступность капитала.</w:t>
      </w:r>
    </w:p>
    <w:p w:rsidR="007C66ED" w:rsidRPr="00DF774B" w:rsidRDefault="007C66ED" w:rsidP="007C66ED">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Одной из задач правительства Узбекистана является разработка комплексного стратегического плана развития сельских советов.</w:t>
      </w:r>
    </w:p>
    <w:p w:rsidR="009249CD" w:rsidRPr="00DF774B" w:rsidRDefault="007C66ED" w:rsidP="007C66ED">
      <w:pPr>
        <w:widowControl w:val="0"/>
        <w:spacing w:after="0" w:line="360" w:lineRule="auto"/>
        <w:ind w:firstLine="709"/>
        <w:jc w:val="both"/>
        <w:rPr>
          <w:szCs w:val="28"/>
          <w:lang w:val="ru-RU"/>
        </w:rPr>
      </w:pPr>
      <w:r w:rsidRPr="00DF774B">
        <w:rPr>
          <w:rFonts w:eastAsia="Times New Roman"/>
          <w:kern w:val="0"/>
          <w:szCs w:val="28"/>
          <w:lang w:val="ru-RU" w:eastAsia="ru-RU"/>
        </w:rPr>
        <w:t xml:space="preserve">Развитие Министерства сельского хозяйства и развития сельских районов характеризуется диверсификацией экономической структуры страны и развитием сферы услуг и промышленности. Однако в настоящее время этот сектор является основным источником дохода для населения страны, </w:t>
      </w:r>
      <w:r w:rsidRPr="00DF774B">
        <w:rPr>
          <w:rFonts w:eastAsia="Times New Roman"/>
          <w:kern w:val="0"/>
          <w:szCs w:val="28"/>
          <w:lang w:val="ru-RU" w:eastAsia="ru-RU"/>
        </w:rPr>
        <w:lastRenderedPageBreak/>
        <w:t xml:space="preserve">обеспечивая безопасность жизни, средства к существованию, повышая качество жизни в сельской местности и гарантируя социально-экономическое развитие населения страны </w:t>
      </w:r>
      <w:r w:rsidR="009249CD" w:rsidRPr="00DF774B">
        <w:rPr>
          <w:szCs w:val="28"/>
          <w:lang w:val="ru-RU"/>
        </w:rPr>
        <w:t>.</w:t>
      </w:r>
    </w:p>
    <w:p w:rsidR="009249CD" w:rsidRDefault="00F50397" w:rsidP="009249CD">
      <w:pPr>
        <w:widowControl w:val="0"/>
        <w:tabs>
          <w:tab w:val="left" w:pos="851"/>
        </w:tabs>
        <w:spacing w:after="0" w:line="360" w:lineRule="auto"/>
        <w:ind w:hanging="142"/>
        <w:jc w:val="both"/>
        <w:rPr>
          <w:b/>
          <w:bCs/>
          <w:szCs w:val="28"/>
          <w:lang w:val="en-US"/>
        </w:rPr>
      </w:pPr>
      <w:r w:rsidRPr="005377B4">
        <w:rPr>
          <w:noProof/>
          <w:lang w:val="ru-RU" w:eastAsia="ru-RU"/>
        </w:rPr>
        <w:drawing>
          <wp:inline distT="0" distB="0" distL="0" distR="0">
            <wp:extent cx="6019800" cy="2819400"/>
            <wp:effectExtent l="0" t="0" r="0" b="0"/>
            <wp:docPr id="26"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19800" cy="2819400"/>
                    </a:xfrm>
                    <a:prstGeom prst="rect">
                      <a:avLst/>
                    </a:prstGeom>
                    <a:noFill/>
                    <a:ln>
                      <a:noFill/>
                    </a:ln>
                  </pic:spPr>
                </pic:pic>
              </a:graphicData>
            </a:graphic>
          </wp:inline>
        </w:drawing>
      </w:r>
    </w:p>
    <w:p w:rsidR="009249CD" w:rsidRPr="00DF774B" w:rsidRDefault="0012517D" w:rsidP="009249CD">
      <w:pPr>
        <w:widowControl w:val="0"/>
        <w:spacing w:after="0"/>
        <w:ind w:firstLine="709"/>
        <w:jc w:val="center"/>
        <w:rPr>
          <w:b/>
          <w:bCs/>
          <w:szCs w:val="28"/>
          <w:lang w:val="ru-RU"/>
        </w:rPr>
      </w:pPr>
      <w:r w:rsidRPr="00DF774B">
        <w:rPr>
          <w:b/>
          <w:bCs/>
          <w:szCs w:val="28"/>
          <w:lang w:val="ru-RU"/>
        </w:rPr>
        <w:t>Рисунок 2.4. Валовая добавленная стоимость сельского хозяйства, лесного хозяйства и рыболовства.</w:t>
      </w:r>
      <w:r w:rsidR="009249CD">
        <w:rPr>
          <w:rStyle w:val="af0"/>
          <w:b/>
          <w:bCs/>
          <w:lang w:val="en-US"/>
        </w:rPr>
        <w:footnoteReference w:id="32"/>
      </w:r>
    </w:p>
    <w:p w:rsidR="009249CD" w:rsidRPr="00085A7A" w:rsidRDefault="007C66ED" w:rsidP="009249CD">
      <w:pPr>
        <w:widowControl w:val="0"/>
        <w:spacing w:after="0" w:line="360" w:lineRule="auto"/>
        <w:ind w:firstLine="709"/>
        <w:jc w:val="both"/>
        <w:rPr>
          <w:szCs w:val="28"/>
          <w:lang w:val="en-US"/>
        </w:rPr>
      </w:pPr>
      <w:r w:rsidRPr="00DF774B">
        <w:rPr>
          <w:szCs w:val="28"/>
          <w:lang w:val="ru-RU"/>
        </w:rPr>
        <w:t xml:space="preserve">Как видно из приведенного выше рисунка, в 2024 году темпы роста в лесном, лесохозяйственном и рыболовном секторах составили 3,1 фута. Точнее, темпы роста увеличились в 4,1 раза в 2023 году, в 3,6 раза в 2022 году, в 4,0 раза в 2021 году и в 2,9 раза в 2020 году. В отчете показано, что общий объем услуг в сфере птицеводства, овощеводства и рыбной продукции достиг 467 041,5 млрд сумов. Основную часть общего дохода, а именно 96,6 процента, сформировали услуги в сфере образования, животноводства, охоты и других секторах, при этом занятость в лесном секторе составила 2,5 процента, а занятость среди взрослого населения — 0,9 процента. В 2024 году уровень занятости в целевом регионе увеличится на 3,1 процентных пункта, в том числе на 3,1 процентных пункта в сфере развития, животноводства, охоты и связанных с ними услуг. Объемы суточной продукции продемонстрировали положительную тенденцию и увеличились со 150 493,7 млрд сумов в 2020 году до 266 565,0 млрд сумов в 2024 году. Это означает увеличение на 116 071,3 млрд сумов, или на 77,1 процента, за 5 лет. Аналогичным образом, бюджет на </w:t>
      </w:r>
      <w:r w:rsidRPr="00DF774B">
        <w:rPr>
          <w:szCs w:val="28"/>
          <w:lang w:val="ru-RU"/>
        </w:rPr>
        <w:lastRenderedPageBreak/>
        <w:t xml:space="preserve">2020-2021 годы (31 294 млрд сумов), 2022-2023 годы (34 107,2 млрд сумов) и 2023-2024 годы (23 648,6 млрд сумов) будет продлен. На основании этих данных можно сказать, что развитие сельского хозяйства в Узбекистане в 2020-2024 годах находится в процессе развития. Хотя валовой внутренний продукт стабильно рос, в показателях роста наблюдались некоторые колебания. В одном томе данной работы представлены результаты реформ в секторе, а во втором томе объясняется необходимость разработки дополнительных мер по оживлению сельской местности. Одним из важнейших показателей экономического развития является уровень волатильности инвестиций в стране. Инвестиции в основной капитал и инвестиции в основной капитал входят в число экономических приоритетов Республики Узбекистан. Для иллюстрации этого вывода мы использовали график полиномиальной регрессии, чтобы показать динамику инвестиций в акционерный капитал в Республике Узбекистан в 2010-2025 годах. </w:t>
      </w:r>
      <w:r w:rsidRPr="007C66ED">
        <w:rPr>
          <w:szCs w:val="28"/>
          <w:lang w:val="en-US"/>
        </w:rPr>
        <w:t xml:space="preserve">Успешный </w:t>
      </w:r>
      <w:r w:rsidR="009249CD" w:rsidRPr="007921DF">
        <w:rPr>
          <w:szCs w:val="28"/>
          <w:lang w:val="en-US"/>
        </w:rPr>
        <w:t>.</w:t>
      </w:r>
    </w:p>
    <w:p w:rsidR="009249CD" w:rsidRPr="00085A7A" w:rsidRDefault="00F50397" w:rsidP="009249CD">
      <w:pPr>
        <w:spacing w:after="0"/>
        <w:jc w:val="both"/>
        <w:rPr>
          <w:b/>
          <w:noProof/>
          <w:szCs w:val="28"/>
          <w:lang w:val="en-US"/>
        </w:rPr>
      </w:pPr>
      <w:r w:rsidRPr="005377B4">
        <w:rPr>
          <w:noProof/>
          <w:lang w:val="ru-RU" w:eastAsia="ru-RU"/>
        </w:rPr>
        <w:drawing>
          <wp:inline distT="0" distB="0" distL="0" distR="0">
            <wp:extent cx="5874385" cy="2047875"/>
            <wp:effectExtent l="0" t="0" r="12065" b="9525"/>
            <wp:docPr id="27" name="Диаграмма 1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249CD" w:rsidRPr="00DF774B" w:rsidRDefault="0012517D" w:rsidP="009249CD">
      <w:pPr>
        <w:widowControl w:val="0"/>
        <w:spacing w:after="0"/>
        <w:ind w:firstLine="709"/>
        <w:jc w:val="center"/>
        <w:rPr>
          <w:b/>
          <w:bCs/>
          <w:szCs w:val="28"/>
          <w:lang w:val="ru-RU"/>
        </w:rPr>
      </w:pPr>
      <w:r w:rsidRPr="00DF774B">
        <w:rPr>
          <w:b/>
          <w:bCs/>
          <w:szCs w:val="28"/>
          <w:lang w:val="ru-RU"/>
        </w:rPr>
        <w:t xml:space="preserve">Рисунок 2.5. Объём </w:t>
      </w:r>
      <w:r w:rsidR="009249CD" w:rsidRPr="00DF774B">
        <w:rPr>
          <w:b/>
          <w:szCs w:val="28"/>
          <w:lang w:val="ru-RU"/>
        </w:rPr>
        <w:t xml:space="preserve">инвестиций в основной капитал и инвестиций в сельское хозяйство в Республике Узбекистан за 2010-2025 годы </w:t>
      </w:r>
      <w:r w:rsidR="009249CD" w:rsidRPr="00DF774B">
        <w:rPr>
          <w:b/>
          <w:bCs/>
          <w:szCs w:val="28"/>
          <w:lang w:val="ru-RU"/>
        </w:rPr>
        <w:t>(триллионы сумов).</w:t>
      </w:r>
      <w:r w:rsidR="009249CD">
        <w:rPr>
          <w:rStyle w:val="af0"/>
          <w:b/>
          <w:bCs/>
          <w:lang w:val="en-US"/>
        </w:rPr>
        <w:footnoteReference w:id="33"/>
      </w:r>
    </w:p>
    <w:p w:rsidR="009249CD" w:rsidRPr="00DF774B" w:rsidRDefault="009249CD" w:rsidP="009249CD">
      <w:pPr>
        <w:widowControl w:val="0"/>
        <w:spacing w:after="0" w:line="360" w:lineRule="auto"/>
        <w:jc w:val="both"/>
        <w:rPr>
          <w:szCs w:val="28"/>
          <w:lang w:val="ru-RU"/>
        </w:rPr>
      </w:pPr>
      <w:r w:rsidRPr="00F5513B">
        <w:rPr>
          <w:szCs w:val="28"/>
          <w:lang w:val="uz-Cyrl-UZ"/>
        </w:rPr>
        <w:tab/>
      </w:r>
      <w:r w:rsidR="007C66ED" w:rsidRPr="007C66ED">
        <w:rPr>
          <w:szCs w:val="28"/>
          <w:lang w:val="uz-Cyrl-UZ"/>
        </w:rPr>
        <w:t xml:space="preserve">Приведенная ниже диаграмма анализирует динамику частных инвестиций в Узбекистане в 2010-2025 годах, а также инвестиций в сельское хозяйство. В частности, в 2010-2025 годах ожидается увеличение объема инвестиций, направленных на собственный капитал. В 2010 году этот показатель составил 15,4 трлн сумов, в 2015 году – 107,3 ​​трлн сумов, в 2020 году – 245,0 трлн сумов, а в 2025 году – 493,7 трлн сумов. Эти цифры </w:t>
      </w:r>
      <w:r w:rsidR="007C66ED" w:rsidRPr="007C66ED">
        <w:rPr>
          <w:szCs w:val="28"/>
          <w:lang w:val="uz-Cyrl-UZ"/>
        </w:rPr>
        <w:lastRenderedPageBreak/>
        <w:t>свидетельствуют о задолженности инвестиционной деятельности в стране. Объем инвестиций в основной капитал как форму экономической деятельности в Республике Узбекистан относительно невелик, в 2010 году он составил 0,9 трлн сумов. Однако ожидается, что в 2015 году эта цифра составит 3,6 триллиона сумов, в 2020 году — 18,9 триллиона сумов, а в 2025 году — 32,5 триллиона сумов. В прошлом прямые инвестиции, как правило, росли медленнее, чем общие инвестиции. Полиномиальные линии тренда, представленные на графике, содержат важную информацию.</w:t>
      </w:r>
      <w:r w:rsidRPr="00DF774B">
        <w:rPr>
          <w:szCs w:val="28"/>
          <w:lang w:val="ru-RU"/>
        </w:rPr>
        <w:t xml:space="preserve"> </w:t>
      </w:r>
    </w:p>
    <w:p w:rsidR="009249CD" w:rsidRPr="00DF774B" w:rsidRDefault="009249CD" w:rsidP="009249CD">
      <w:pPr>
        <w:widowControl w:val="0"/>
        <w:spacing w:after="0" w:line="360" w:lineRule="auto"/>
        <w:ind w:firstLine="708"/>
        <w:jc w:val="both"/>
        <w:rPr>
          <w:szCs w:val="28"/>
          <w:lang w:val="ru-RU"/>
        </w:rPr>
      </w:pPr>
      <w:r w:rsidRPr="00DF774B">
        <w:rPr>
          <w:szCs w:val="28"/>
          <w:lang w:val="ru-RU"/>
        </w:rPr>
        <w:t>Для общих инвестиций</w:t>
      </w:r>
    </w:p>
    <w:p w:rsidR="009249CD" w:rsidRPr="00DF774B" w:rsidRDefault="009249CD" w:rsidP="009249CD">
      <w:pPr>
        <w:widowControl w:val="0"/>
        <w:spacing w:after="0" w:line="360" w:lineRule="auto"/>
        <w:ind w:firstLine="708"/>
        <w:jc w:val="center"/>
        <w:rPr>
          <w:szCs w:val="28"/>
          <w:lang w:val="ru-RU"/>
        </w:rPr>
      </w:pPr>
      <w:r w:rsidRPr="00A66D55">
        <w:rPr>
          <w:b/>
          <w:szCs w:val="28"/>
          <w:lang w:val="en-US"/>
        </w:rPr>
        <w:t>y</w:t>
      </w:r>
      <w:r w:rsidRPr="00DF774B">
        <w:rPr>
          <w:b/>
          <w:szCs w:val="28"/>
          <w:lang w:val="ru-RU"/>
        </w:rPr>
        <w:t xml:space="preserve"> = 3.2535</w:t>
      </w:r>
      <w:r w:rsidRPr="00A66D55">
        <w:rPr>
          <w:b/>
          <w:szCs w:val="28"/>
          <w:lang w:val="en-US"/>
        </w:rPr>
        <w:t>x</w:t>
      </w:r>
      <w:r w:rsidRPr="00DF774B">
        <w:rPr>
          <w:b/>
          <w:szCs w:val="28"/>
          <w:lang w:val="ru-RU"/>
        </w:rPr>
        <w:t>² - 13095</w:t>
      </w:r>
      <w:r w:rsidRPr="00A66D55">
        <w:rPr>
          <w:b/>
          <w:szCs w:val="28"/>
          <w:lang w:val="en-US"/>
        </w:rPr>
        <w:t>x</w:t>
      </w:r>
      <w:r w:rsidRPr="00DF774B">
        <w:rPr>
          <w:b/>
          <w:szCs w:val="28"/>
          <w:lang w:val="ru-RU"/>
        </w:rPr>
        <w:t xml:space="preserve"> + 1</w:t>
      </w:r>
      <w:r w:rsidRPr="00A66D55">
        <w:rPr>
          <w:b/>
          <w:szCs w:val="28"/>
          <w:lang w:val="en-US"/>
        </w:rPr>
        <w:t>E</w:t>
      </w:r>
      <w:r w:rsidRPr="00DF774B">
        <w:rPr>
          <w:b/>
          <w:szCs w:val="28"/>
          <w:lang w:val="ru-RU"/>
        </w:rPr>
        <w:t>+07 (1)</w:t>
      </w:r>
    </w:p>
    <w:p w:rsidR="009249CD" w:rsidRPr="00DF774B" w:rsidRDefault="009249CD" w:rsidP="009249CD">
      <w:pPr>
        <w:widowControl w:val="0"/>
        <w:spacing w:after="0" w:line="360" w:lineRule="auto"/>
        <w:ind w:firstLine="708"/>
        <w:jc w:val="both"/>
        <w:rPr>
          <w:szCs w:val="28"/>
          <w:lang w:val="ru-RU"/>
        </w:rPr>
      </w:pPr>
      <w:r w:rsidRPr="00DF774B">
        <w:rPr>
          <w:szCs w:val="28"/>
          <w:lang w:val="ru-RU"/>
        </w:rPr>
        <w:t xml:space="preserve">Линия тренда, представленная квадратным уравнением в форме </w:t>
      </w:r>
      <w:r w:rsidRPr="00A66D55">
        <w:rPr>
          <w:b/>
          <w:szCs w:val="28"/>
          <w:lang w:val="en-US"/>
        </w:rPr>
        <w:t>R</w:t>
      </w:r>
      <w:r w:rsidRPr="00DF774B">
        <w:rPr>
          <w:b/>
          <w:szCs w:val="28"/>
          <w:lang w:val="ru-RU"/>
        </w:rPr>
        <w:t xml:space="preserve">² = 0,9768 </w:t>
      </w:r>
      <w:r w:rsidRPr="00DF774B">
        <w:rPr>
          <w:szCs w:val="28"/>
          <w:lang w:val="ru-RU"/>
        </w:rPr>
        <w:t>, демонстрирует высокий уровень надежности. Это указывает на экспоненциальный рост объема инвестиций в этом секторе. Что касается сельскохозяйственных инвестиций,</w:t>
      </w:r>
    </w:p>
    <w:p w:rsidR="009249CD" w:rsidRPr="00DF774B" w:rsidRDefault="009249CD" w:rsidP="009249CD">
      <w:pPr>
        <w:widowControl w:val="0"/>
        <w:spacing w:after="0" w:line="360" w:lineRule="auto"/>
        <w:ind w:firstLine="708"/>
        <w:jc w:val="center"/>
        <w:rPr>
          <w:b/>
          <w:szCs w:val="28"/>
          <w:lang w:val="ru-RU"/>
        </w:rPr>
      </w:pPr>
      <w:r w:rsidRPr="00A66D55">
        <w:rPr>
          <w:b/>
          <w:szCs w:val="28"/>
          <w:lang w:val="en-US"/>
        </w:rPr>
        <w:t>y</w:t>
      </w:r>
      <w:r w:rsidRPr="00DF774B">
        <w:rPr>
          <w:b/>
          <w:szCs w:val="28"/>
          <w:lang w:val="ru-RU"/>
        </w:rPr>
        <w:t xml:space="preserve"> = 0.2143</w:t>
      </w:r>
      <w:r w:rsidRPr="00A66D55">
        <w:rPr>
          <w:b/>
          <w:szCs w:val="28"/>
          <w:lang w:val="en-US"/>
        </w:rPr>
        <w:t>x</w:t>
      </w:r>
      <w:r w:rsidRPr="00DF774B">
        <w:rPr>
          <w:b/>
          <w:szCs w:val="28"/>
          <w:lang w:val="ru-RU"/>
        </w:rPr>
        <w:t>² - 862.38</w:t>
      </w:r>
      <w:r w:rsidRPr="00A66D55">
        <w:rPr>
          <w:b/>
          <w:szCs w:val="28"/>
          <w:lang w:val="en-US"/>
        </w:rPr>
        <w:t>x</w:t>
      </w:r>
      <w:r w:rsidRPr="00DF774B">
        <w:rPr>
          <w:b/>
          <w:szCs w:val="28"/>
          <w:lang w:val="ru-RU"/>
        </w:rPr>
        <w:t xml:space="preserve"> + 867613 (2)</w:t>
      </w:r>
    </w:p>
    <w:p w:rsidR="007C66ED" w:rsidRPr="00DF774B" w:rsidRDefault="007C66ED" w:rsidP="007C66ED">
      <w:pPr>
        <w:widowControl w:val="0"/>
        <w:spacing w:after="0" w:line="360" w:lineRule="auto"/>
        <w:ind w:firstLine="708"/>
        <w:jc w:val="both"/>
        <w:rPr>
          <w:szCs w:val="28"/>
          <w:lang w:val="ru-RU"/>
        </w:rPr>
      </w:pPr>
      <w:r w:rsidRPr="00DF774B">
        <w:rPr>
          <w:szCs w:val="28"/>
          <w:lang w:val="ru-RU"/>
        </w:rPr>
        <w:t xml:space="preserve">В этой формуле наблюдается незначительное снижение тренда, коэффициент </w:t>
      </w:r>
      <w:r w:rsidRPr="007C66ED">
        <w:rPr>
          <w:szCs w:val="28"/>
          <w:lang w:val="en-US"/>
        </w:rPr>
        <w:t>P</w:t>
      </w:r>
      <w:r w:rsidRPr="00DF774B">
        <w:rPr>
          <w:szCs w:val="28"/>
          <w:lang w:val="ru-RU"/>
        </w:rPr>
        <w:t xml:space="preserve">2 = 0,9256 указывает на высокий уровень достоверности. Однако, несмотря на продолжение тенденции развития, темпы роста общего объема инвестиций в акционерный капитал значительно выше, чем темпы роста инвестиций в развитие сельских районов. В 2015-2025 годах общий объем инвестиций в регионе увеличится со 107,3 ​​трлн сумов до 493,7 трлн сумов, или 4,6 млн сумов, а инвестиции в сельское хозяйство вырастут с 3,6 трлн сумов до 32,5 трлн сумов, что означает увеличение числа занятых на 9 человек. Хотя эти цифры показывают рост развития сельских районов, они демонстрируют значительную разницу по отношению к общему объему инвестиций. Темпы роста общего объема инвестиций в 2017-2025 годах будут очень высокими. В этот период экономические реформы и меры, принятые для улучшения инвестиционного климата в стране, показали свои результаты. Если в 2010 году доля инвестиций, направленных в сельские районы, в общем объеме инвестиций составляла приблизительно 5,8%, то к 2025 году этот </w:t>
      </w:r>
      <w:r w:rsidRPr="00DF774B">
        <w:rPr>
          <w:szCs w:val="28"/>
          <w:lang w:val="ru-RU"/>
        </w:rPr>
        <w:lastRenderedPageBreak/>
        <w:t>показатель достигнет 6,6%. Эти цифры свидетельствуют о высоком уровне инвестиций в сельские районы. Это указывает на необходимость привлечения инвестиций в страну для содействия развитию сельских территорий.</w:t>
      </w:r>
    </w:p>
    <w:p w:rsidR="007C66ED" w:rsidRPr="00DF774B" w:rsidRDefault="007C66ED" w:rsidP="007C66ED">
      <w:pPr>
        <w:widowControl w:val="0"/>
        <w:spacing w:after="0" w:line="360" w:lineRule="auto"/>
        <w:ind w:firstLine="708"/>
        <w:jc w:val="both"/>
        <w:rPr>
          <w:szCs w:val="28"/>
          <w:lang w:val="ru-RU"/>
        </w:rPr>
      </w:pPr>
      <w:r w:rsidRPr="00DF774B">
        <w:rPr>
          <w:szCs w:val="28"/>
          <w:lang w:val="ru-RU"/>
        </w:rPr>
        <w:t>Разработать стратегию привлечения инвесторов. Это требует укрепления инвестиционного климата страны, предоставления специальных льгот иностранным инвесторам и усиления международного сотрудничества.</w:t>
      </w:r>
    </w:p>
    <w:p w:rsidR="007C66ED" w:rsidRPr="00DF774B" w:rsidRDefault="007C66ED" w:rsidP="007C66ED">
      <w:pPr>
        <w:widowControl w:val="0"/>
        <w:spacing w:after="0" w:line="360" w:lineRule="auto"/>
        <w:ind w:firstLine="708"/>
        <w:jc w:val="both"/>
        <w:rPr>
          <w:szCs w:val="28"/>
          <w:lang w:val="ru-RU"/>
        </w:rPr>
      </w:pPr>
      <w:r w:rsidRPr="00DF774B">
        <w:rPr>
          <w:szCs w:val="28"/>
          <w:lang w:val="ru-RU"/>
        </w:rPr>
        <w:t>Кроме того, можно укрепить механизмы государственно-частного партнерства (ГЧП) в сельскохозяйственном секторе и значительно расширить инвестиционные возможности. Эта модель позволила объединить созданные государством нормативно-правовые и инфраструктурные условия с финансовыми ресурсами и опытом частного сектора. В результате удалось улучшить финансовое положение, распределить инвестиционные риски и создать гарантии удовлетворения потребностей населения.</w:t>
      </w:r>
    </w:p>
    <w:p w:rsidR="009249CD" w:rsidRPr="00DF774B" w:rsidRDefault="007C66ED" w:rsidP="007C66ED">
      <w:pPr>
        <w:widowControl w:val="0"/>
        <w:spacing w:after="0" w:line="360" w:lineRule="auto"/>
        <w:ind w:firstLine="708"/>
        <w:jc w:val="both"/>
        <w:rPr>
          <w:szCs w:val="28"/>
          <w:lang w:val="ru-RU"/>
        </w:rPr>
      </w:pPr>
      <w:r w:rsidRPr="00DF774B">
        <w:rPr>
          <w:szCs w:val="28"/>
          <w:lang w:val="ru-RU"/>
        </w:rPr>
        <w:t>Инвестиции в инновации и цифровые технологии в сельских районах. В рамках этого проекта разрабатываются технологии «умного» сельского хозяйства, искусственного интеллекта, больших данных и Интернета вещей (</w:t>
      </w:r>
      <w:r w:rsidRPr="007C66ED">
        <w:rPr>
          <w:szCs w:val="28"/>
          <w:lang w:val="en-US"/>
        </w:rPr>
        <w:t>IoT</w:t>
      </w:r>
      <w:r w:rsidRPr="00DF774B">
        <w:rPr>
          <w:szCs w:val="28"/>
          <w:lang w:val="ru-RU"/>
        </w:rPr>
        <w:t>) для создания специализированных инструментов в этих целях.</w:t>
      </w:r>
    </w:p>
    <w:p w:rsidR="007C66ED" w:rsidRPr="00DF774B" w:rsidRDefault="007C66ED" w:rsidP="007C66ED">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Как видно из приведенных выше графических данных, динамика иностранных инвестиций в основной капитал в Республике Узбекистан в 2010-2024 годах значительно возросла. С 2010 по 2018 год объем инвестиций в страну оставался относительно стабильным и составлял 2,5-3,9 млрд долларов. С 2019 года иностранные инвестиции значительно выросли, достигнув 9,8 млрд долларов в 2019 году и 10,2 млрд долларов в 2020 году. В последние годы этот показатель увеличился и к 2024 году достигнет 34,9 млрд долларов, что в 12,5 раз больше, чем в 2010 году. Эта тенденция отражается в снижении инвестиционных возможностей в стране и эффективности экономического развития. При этом лица, инвестировавшие в страну, значительно различались по характеристикам населения. В 2010-2014 годах эта доля колебалась от 0,7% до 3,0%. В 2015-2016 годах этот показатель составлял в основном 0,8-1,1%. В 2017-2020 годах сельская численность населения значительно выросла, </w:t>
      </w:r>
      <w:r w:rsidRPr="00DF774B">
        <w:rPr>
          <w:rFonts w:eastAsia="Times New Roman"/>
          <w:kern w:val="0"/>
          <w:szCs w:val="28"/>
          <w:lang w:val="ru-RU" w:eastAsia="ru-RU"/>
        </w:rPr>
        <w:lastRenderedPageBreak/>
        <w:t>достигнув максимума в 10,4% в 2020 году. С 2021 года этот показатель имеет тенденцию к снижению, уменьшившись до 5,4% в 2022 году и достигнув 6,1% к 2024 году. Это свидетельствует о том, что основная часть иностранных инвестиций направлена на достижение пустых экономических целей.</w:t>
      </w:r>
    </w:p>
    <w:p w:rsidR="007C66ED" w:rsidRPr="00DF774B" w:rsidRDefault="007C66ED" w:rsidP="007C66ED">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Полиномиальный тренд, показанный на графике (</w:t>
      </w:r>
      <w:r w:rsidRPr="007C66ED">
        <w:rPr>
          <w:rFonts w:eastAsia="Times New Roman"/>
          <w:kern w:val="0"/>
          <w:szCs w:val="28"/>
          <w:lang w:val="en-US" w:eastAsia="ru-RU"/>
        </w:rPr>
        <w:t>y</w:t>
      </w:r>
      <w:r w:rsidRPr="00DF774B">
        <w:rPr>
          <w:rFonts w:eastAsia="Times New Roman"/>
          <w:kern w:val="0"/>
          <w:szCs w:val="28"/>
          <w:lang w:val="ru-RU" w:eastAsia="ru-RU"/>
        </w:rPr>
        <w:t xml:space="preserve"> = 0,0078</w:t>
      </w:r>
      <w:r w:rsidRPr="007C66ED">
        <w:rPr>
          <w:rFonts w:eastAsia="Times New Roman"/>
          <w:kern w:val="0"/>
          <w:szCs w:val="28"/>
          <w:lang w:val="en-US" w:eastAsia="ru-RU"/>
        </w:rPr>
        <w:t>x</w:t>
      </w:r>
      <w:r w:rsidRPr="00DF774B">
        <w:rPr>
          <w:rFonts w:eastAsia="Times New Roman"/>
          <w:kern w:val="0"/>
          <w:szCs w:val="28"/>
          <w:lang w:val="ru-RU" w:eastAsia="ru-RU"/>
        </w:rPr>
        <w:t>⁴ - 0,2145</w:t>
      </w:r>
      <w:r w:rsidRPr="007C66ED">
        <w:rPr>
          <w:rFonts w:eastAsia="Times New Roman"/>
          <w:kern w:val="0"/>
          <w:szCs w:val="28"/>
          <w:lang w:val="en-US" w:eastAsia="ru-RU"/>
        </w:rPr>
        <w:t>x</w:t>
      </w:r>
      <w:r w:rsidRPr="00DF774B">
        <w:rPr>
          <w:rFonts w:eastAsia="Times New Roman"/>
          <w:kern w:val="0"/>
          <w:szCs w:val="28"/>
          <w:lang w:val="ru-RU" w:eastAsia="ru-RU"/>
        </w:rPr>
        <w:t>³ + 2,0123</w:t>
      </w:r>
      <w:r w:rsidRPr="007C66ED">
        <w:rPr>
          <w:rFonts w:eastAsia="Times New Roman"/>
          <w:kern w:val="0"/>
          <w:szCs w:val="28"/>
          <w:lang w:val="en-US" w:eastAsia="ru-RU"/>
        </w:rPr>
        <w:t>x</w:t>
      </w:r>
      <w:r w:rsidRPr="00DF774B">
        <w:rPr>
          <w:rFonts w:eastAsia="Times New Roman"/>
          <w:kern w:val="0"/>
          <w:szCs w:val="28"/>
          <w:lang w:val="ru-RU" w:eastAsia="ru-RU"/>
        </w:rPr>
        <w:t>² - 6,8563</w:t>
      </w:r>
      <w:r w:rsidRPr="007C66ED">
        <w:rPr>
          <w:rFonts w:eastAsia="Times New Roman"/>
          <w:kern w:val="0"/>
          <w:szCs w:val="28"/>
          <w:lang w:val="en-US" w:eastAsia="ru-RU"/>
        </w:rPr>
        <w:t>x</w:t>
      </w:r>
      <w:r w:rsidRPr="00DF774B">
        <w:rPr>
          <w:rFonts w:eastAsia="Times New Roman"/>
          <w:kern w:val="0"/>
          <w:szCs w:val="28"/>
          <w:lang w:val="ru-RU" w:eastAsia="ru-RU"/>
        </w:rPr>
        <w:t xml:space="preserve"> + 9,0027), указывает на экспоненциальный рост динамики общего объема иностранных инвестиций. Высокий коэффициент детерминации (</w:t>
      </w:r>
      <w:r w:rsidRPr="007C66ED">
        <w:rPr>
          <w:rFonts w:eastAsia="Times New Roman"/>
          <w:kern w:val="0"/>
          <w:szCs w:val="28"/>
          <w:lang w:val="en-US" w:eastAsia="ru-RU"/>
        </w:rPr>
        <w:t>R</w:t>
      </w:r>
      <w:r w:rsidRPr="00DF774B">
        <w:rPr>
          <w:rFonts w:eastAsia="Times New Roman"/>
          <w:kern w:val="0"/>
          <w:szCs w:val="28"/>
          <w:lang w:val="ru-RU" w:eastAsia="ru-RU"/>
        </w:rPr>
        <w:t>² = 0,933) подтвердил статистическую независимость этого тренда и указал на возможность продолжения инвестиций в будущем. Это показатель инвестиционного климата в Узбекистане.</w:t>
      </w:r>
    </w:p>
    <w:p w:rsidR="009249CD" w:rsidRPr="00DF774B" w:rsidRDefault="007C66ED" w:rsidP="007C66ED">
      <w:pPr>
        <w:widowControl w:val="0"/>
        <w:spacing w:after="0" w:line="360" w:lineRule="auto"/>
        <w:ind w:firstLine="709"/>
        <w:jc w:val="both"/>
        <w:rPr>
          <w:szCs w:val="28"/>
          <w:lang w:val="ru-RU"/>
        </w:rPr>
      </w:pPr>
      <w:r w:rsidRPr="00DF774B">
        <w:rPr>
          <w:rFonts w:eastAsia="Times New Roman"/>
          <w:kern w:val="0"/>
          <w:szCs w:val="28"/>
          <w:lang w:val="ru-RU" w:eastAsia="ru-RU"/>
        </w:rPr>
        <w:t>Иностранные инвестиции в Узбекистан демонстрируют положительную динамику роста и значительное увеличение общего объема капиталовложений в период с 2010 по 2024 год. Однако доля сельскохозяйственного сектора на общем инвестиционном рынке по-прежнему остается задолженной.</w:t>
      </w:r>
      <w:r w:rsidR="009249CD" w:rsidRPr="00DF774B">
        <w:rPr>
          <w:szCs w:val="28"/>
          <w:lang w:val="ru-RU"/>
        </w:rPr>
        <w:t xml:space="preserve"> </w:t>
      </w:r>
    </w:p>
    <w:p w:rsidR="007C66ED" w:rsidRPr="00DF774B" w:rsidRDefault="007C66ED" w:rsidP="007C66ED">
      <w:pPr>
        <w:pStyle w:val="whitespace-pre-wrap"/>
        <w:widowControl w:val="0"/>
        <w:spacing w:before="0" w:beforeAutospacing="0" w:after="0" w:line="360" w:lineRule="auto"/>
        <w:ind w:firstLine="709"/>
        <w:jc w:val="both"/>
        <w:rPr>
          <w:sz w:val="28"/>
          <w:szCs w:val="28"/>
          <w:lang w:val="ru-RU"/>
        </w:rPr>
      </w:pPr>
      <w:r w:rsidRPr="00DF774B">
        <w:rPr>
          <w:sz w:val="28"/>
          <w:szCs w:val="28"/>
          <w:lang w:val="ru-RU"/>
        </w:rPr>
        <w:t>В таблице выше показана доля кредитов сельскому хозяйству в Узбекистане в 2010-2024 годах и доля от общего объема кредитов. С 2010 по 2024 год объем кредитов сельским районам страны демонстрировал устойчивую тенденцию роста. В 2010 году этот показатель составлял 7 023,4 млрд сумов, а к 2024 году он достигнет 20 326,0 млрд сумов. За этот период можно наблюдать около 3 крупных кредитных спредов. Аналогичный значительный рост наблюдался в 2017-2019 и 2020-2021 годах. В 2019-2020 годах этот показатель увеличился с 14 051,7 млрд сумов до 18 772,2 млрд сумов, а в последние годы наблюдается существенный рост. В 2021 году максимальный оборот составил 21 133,2 миллиарда сумов, а в 2022-2023 годах он увеличился на один процентный пункт и сохранил аналогичную тенденцию в 2024 году.</w:t>
      </w:r>
    </w:p>
    <w:p w:rsidR="007C66ED" w:rsidRPr="00DF774B" w:rsidRDefault="007C66ED" w:rsidP="007C66ED">
      <w:pPr>
        <w:pStyle w:val="whitespace-pre-wrap"/>
        <w:widowControl w:val="0"/>
        <w:spacing w:before="0" w:beforeAutospacing="0" w:after="0" w:line="360" w:lineRule="auto"/>
        <w:ind w:firstLine="709"/>
        <w:jc w:val="both"/>
        <w:rPr>
          <w:sz w:val="28"/>
          <w:szCs w:val="28"/>
          <w:lang w:val="ru-RU"/>
        </w:rPr>
      </w:pPr>
      <w:r w:rsidRPr="00DF774B">
        <w:rPr>
          <w:sz w:val="28"/>
          <w:szCs w:val="28"/>
          <w:lang w:val="ru-RU"/>
        </w:rPr>
        <w:t xml:space="preserve">Доля кредитов, выданных сельским фермерам, в общем объеме кредитов колебалась от 13,5% до 18,0%. В 2010 году этот показатель составлял 16,0%, а в 2012-2013 годах — 14,0%. В 2015-2016 годах этот показатель был самым </w:t>
      </w:r>
      <w:r w:rsidRPr="00DF774B">
        <w:rPr>
          <w:sz w:val="28"/>
          <w:szCs w:val="28"/>
          <w:lang w:val="ru-RU"/>
        </w:rPr>
        <w:lastRenderedPageBreak/>
        <w:t>высоким за период, показанный на графике, составив 18,0%. В 2017-2019 годах этот показатель оставался на уровне около 16,0%, затем в 2020-2023 годах основной тренд роста ускорился, достигнув 14,0% в 2023 году. К 2024 году темпы роста составят 15,0%. Это свидетельствует о том, что темпы кредитования других секторов экономики значительно возросли по сравнению с сельскохозяйственным производством .</w:t>
      </w:r>
    </w:p>
    <w:p w:rsidR="009249CD" w:rsidRPr="00DF774B" w:rsidRDefault="007C66ED" w:rsidP="007C66ED">
      <w:pPr>
        <w:pStyle w:val="whitespace-pre-wrap"/>
        <w:widowControl w:val="0"/>
        <w:spacing w:before="0" w:beforeAutospacing="0" w:after="0" w:line="360" w:lineRule="auto"/>
        <w:ind w:firstLine="709"/>
        <w:jc w:val="both"/>
        <w:rPr>
          <w:sz w:val="28"/>
          <w:szCs w:val="28"/>
          <w:lang w:val="ru-RU"/>
        </w:rPr>
      </w:pPr>
      <w:r w:rsidRPr="00DF774B">
        <w:rPr>
          <w:sz w:val="28"/>
          <w:szCs w:val="28"/>
          <w:lang w:val="ru-RU"/>
        </w:rPr>
        <w:t>Тем не менее, постепенное увеличение объёма сельскохозяйственных ресурсов, выделяемых на агропромышленный сектор, свидетельствует о том, что государственная поддержка этого сектора в определённой степени приносит результаты. Следовательно, необходимо расширить систему льготного кредитования, расширить кредитные возможности субъектов реального интереса, расширить кредитный портфель и вывести ресурсы участников кредитного цикла.</w:t>
      </w:r>
    </w:p>
    <w:p w:rsidR="007C66ED" w:rsidRPr="00DF774B" w:rsidRDefault="007C66ED" w:rsidP="007C66ED">
      <w:pPr>
        <w:pStyle w:val="whitespace-pre-wrap"/>
        <w:widowControl w:val="0"/>
        <w:spacing w:before="0" w:beforeAutospacing="0" w:after="0" w:line="360" w:lineRule="auto"/>
        <w:ind w:firstLine="709"/>
        <w:jc w:val="both"/>
        <w:rPr>
          <w:sz w:val="28"/>
          <w:szCs w:val="28"/>
          <w:lang w:val="ru-RU"/>
        </w:rPr>
      </w:pPr>
      <w:r w:rsidRPr="00DF774B">
        <w:rPr>
          <w:sz w:val="28"/>
          <w:szCs w:val="28"/>
          <w:lang w:val="ru-RU"/>
        </w:rPr>
        <w:t>Темпы роста лесопродукции были относительно высокими в 2010-2015 годах, достигнув 106-107%. В 2010 году этот показатель составлял 106,8%, в 2011 году — 106,6%, в 2012 году — 107,2%, в 2013-2014 годах — 106,6%. Фактически, темпы роста значительно увеличились в 2016-2017 годах, достигнув 101,8% в 2017 году. В 2018-2019 годах темпы роста добычи нефти составили 100,2% по сравнению с предыдущим годом, что является самым последним показателем за период, показанный на графике. С 2020 года темпы сжигания значительно увеличились, достигнув 102,9%, а в 2022 году — 104,1%. По оценкам, в 2023-2024 годах этот показатель составит около 103,0-103,1%.</w:t>
      </w:r>
    </w:p>
    <w:p w:rsidR="007C66ED" w:rsidRPr="00DF774B" w:rsidRDefault="007C66ED" w:rsidP="007C66ED">
      <w:pPr>
        <w:pStyle w:val="whitespace-pre-wrap"/>
        <w:widowControl w:val="0"/>
        <w:spacing w:before="0" w:beforeAutospacing="0" w:after="0" w:line="360" w:lineRule="auto"/>
        <w:ind w:firstLine="709"/>
        <w:jc w:val="both"/>
        <w:rPr>
          <w:sz w:val="28"/>
          <w:szCs w:val="28"/>
          <w:lang w:val="ru-RU"/>
        </w:rPr>
      </w:pPr>
      <w:r w:rsidRPr="00DF774B">
        <w:rPr>
          <w:sz w:val="28"/>
          <w:szCs w:val="28"/>
          <w:lang w:val="ru-RU"/>
        </w:rPr>
        <w:t>Хотя импорт сельскохозяйственной продукции оставался стабильным в абсолютном выражении, относительные темпы роста значительно увеличились в период с 2010 по 2015 год.</w:t>
      </w:r>
    </w:p>
    <w:p w:rsidR="009249CD" w:rsidRPr="00DF774B" w:rsidRDefault="007C66ED" w:rsidP="007C66ED">
      <w:pPr>
        <w:pStyle w:val="whitespace-pre-wrap"/>
        <w:widowControl w:val="0"/>
        <w:spacing w:before="0" w:beforeAutospacing="0" w:after="0" w:afterAutospacing="0" w:line="360" w:lineRule="auto"/>
        <w:ind w:firstLine="709"/>
        <w:jc w:val="both"/>
        <w:rPr>
          <w:sz w:val="28"/>
          <w:szCs w:val="28"/>
          <w:lang w:val="ru-RU"/>
        </w:rPr>
      </w:pPr>
      <w:r w:rsidRPr="00DF774B">
        <w:rPr>
          <w:sz w:val="28"/>
          <w:szCs w:val="28"/>
          <w:lang w:val="ru-RU"/>
        </w:rPr>
        <w:t xml:space="preserve">Таким образом, указывается на относительное сокращение существующих проблем и необходимость достижения новых уровней. Важное </w:t>
      </w:r>
      <w:r w:rsidRPr="00DF774B">
        <w:rPr>
          <w:sz w:val="28"/>
          <w:szCs w:val="28"/>
          <w:lang w:val="ru-RU"/>
        </w:rPr>
        <w:lastRenderedPageBreak/>
        <w:t>значение имеет также диверсификация экономики страны. Это в первую очередь требует возрождения плодоводства, виноградарства, садоводства, рыболовства и органического земледелия наряду с традиционными секторами хлопка и зерновых. В совокупности создание комплексных цепочек добавленной стоимости, то есть привлечение инвестиций в различные области, такие как переработка, хранение, упаковка и экспорт продукции, направлено на повышение конкурентоспособности сельскохозяйственного сектора.</w:t>
      </w:r>
    </w:p>
    <w:p w:rsidR="007C66ED" w:rsidRPr="00DF774B" w:rsidRDefault="007C66ED" w:rsidP="007C66ED">
      <w:pPr>
        <w:pStyle w:val="whitespace-pre-wrap"/>
        <w:widowControl w:val="0"/>
        <w:spacing w:after="0" w:line="360" w:lineRule="auto"/>
        <w:ind w:firstLine="709"/>
        <w:jc w:val="both"/>
        <w:rPr>
          <w:sz w:val="28"/>
          <w:szCs w:val="28"/>
          <w:lang w:val="ru-RU"/>
        </w:rPr>
      </w:pPr>
      <w:r w:rsidRPr="00DF774B">
        <w:rPr>
          <w:sz w:val="28"/>
          <w:szCs w:val="28"/>
          <w:lang w:val="ru-RU"/>
        </w:rPr>
        <w:t>В период с 2010 по 2024 год значительно увеличится экспорт сельскохозяйственной продукции Узбекистана. Если в 2010 году объем экспорта составлял 2,01 трлн сумов, то к 2024 году он достигнет 27,50 трлн сумов, или 13,7 млн сумов. Аналогичным образом, с 2018 года объем экспорта резко вырос. В 2018 году этот показатель составил 8,82 трлн сумов, в 2020 году — 14,47 трлн сумов, в 2022 году — 17,95 трлн сумов, а в 2024 году — 27,50 трлн сумов. Это свидетельствует о единстве реформ, проводимых революционным движением в Узбекистане. Представленная на диаграмме полиномиальная линия тренда (</w:t>
      </w:r>
      <w:r w:rsidRPr="007C66ED">
        <w:rPr>
          <w:sz w:val="28"/>
          <w:szCs w:val="28"/>
          <w:lang w:val="en-US"/>
        </w:rPr>
        <w:t>y</w:t>
      </w:r>
      <w:r w:rsidRPr="00DF774B">
        <w:rPr>
          <w:sz w:val="28"/>
          <w:szCs w:val="28"/>
          <w:lang w:val="ru-RU"/>
        </w:rPr>
        <w:t xml:space="preserve"> = -0,0001</w:t>
      </w:r>
      <w:r w:rsidRPr="007C66ED">
        <w:rPr>
          <w:sz w:val="28"/>
          <w:szCs w:val="28"/>
          <w:lang w:val="en-US"/>
        </w:rPr>
        <w:t>x</w:t>
      </w:r>
      <w:r w:rsidRPr="00DF774B">
        <w:rPr>
          <w:sz w:val="28"/>
          <w:szCs w:val="28"/>
          <w:lang w:val="ru-RU"/>
        </w:rPr>
        <w:t>4 + 0,0061</w:t>
      </w:r>
      <w:r w:rsidRPr="007C66ED">
        <w:rPr>
          <w:sz w:val="28"/>
          <w:szCs w:val="28"/>
          <w:lang w:val="en-US"/>
        </w:rPr>
        <w:t>x</w:t>
      </w:r>
      <w:r w:rsidRPr="00DF774B">
        <w:rPr>
          <w:sz w:val="28"/>
          <w:szCs w:val="28"/>
          <w:lang w:val="ru-RU"/>
        </w:rPr>
        <w:t>3 + 0,0775</w:t>
      </w:r>
      <w:r w:rsidRPr="007C66ED">
        <w:rPr>
          <w:sz w:val="28"/>
          <w:szCs w:val="28"/>
          <w:lang w:val="en-US"/>
        </w:rPr>
        <w:t>x</w:t>
      </w:r>
      <w:r w:rsidRPr="00DF774B">
        <w:rPr>
          <w:sz w:val="28"/>
          <w:szCs w:val="28"/>
          <w:lang w:val="ru-RU"/>
        </w:rPr>
        <w:t>2 - 0,5552</w:t>
      </w:r>
      <w:r w:rsidRPr="007C66ED">
        <w:rPr>
          <w:sz w:val="28"/>
          <w:szCs w:val="28"/>
          <w:lang w:val="en-US"/>
        </w:rPr>
        <w:t>x</w:t>
      </w:r>
      <w:r w:rsidRPr="00DF774B">
        <w:rPr>
          <w:sz w:val="28"/>
          <w:szCs w:val="28"/>
          <w:lang w:val="ru-RU"/>
        </w:rPr>
        <w:t xml:space="preserve"> + 3,1096) наглядно описывает динамику сельскохозяйственного экспорта, что подтверждается коэффициентом </w:t>
      </w:r>
      <w:r w:rsidRPr="007C66ED">
        <w:rPr>
          <w:sz w:val="28"/>
          <w:szCs w:val="28"/>
          <w:lang w:val="en-US"/>
        </w:rPr>
        <w:t>R</w:t>
      </w:r>
      <w:r w:rsidRPr="00DF774B">
        <w:rPr>
          <w:sz w:val="28"/>
          <w:szCs w:val="28"/>
          <w:lang w:val="ru-RU"/>
        </w:rPr>
        <w:t>2 = 0,0977. Эта математическая модель и прогноз на 2025-2030 годы основаны на тренде роста последних лет. В 2025 году объем экспорта составит 34,4 трлн сумов, в 2027 году - 48,6 трлн сумов, в 2030 году - 72,0 трлн сумов.</w:t>
      </w:r>
    </w:p>
    <w:p w:rsidR="009249CD" w:rsidRPr="00DF774B" w:rsidRDefault="007C66ED" w:rsidP="007C66ED">
      <w:pPr>
        <w:pStyle w:val="whitespace-pre-wrap"/>
        <w:widowControl w:val="0"/>
        <w:spacing w:after="0" w:line="360" w:lineRule="auto"/>
        <w:ind w:firstLine="709"/>
        <w:jc w:val="both"/>
        <w:rPr>
          <w:sz w:val="28"/>
          <w:szCs w:val="28"/>
          <w:lang w:val="ru-RU"/>
        </w:rPr>
      </w:pPr>
      <w:r w:rsidRPr="00DF774B">
        <w:rPr>
          <w:sz w:val="28"/>
          <w:szCs w:val="28"/>
          <w:lang w:val="ru-RU"/>
        </w:rPr>
        <w:t xml:space="preserve">В этом контексте может набрать обороты экспорт сельскохозяйственной продукции. Прежде всего, в Узбекистане осуществляется переработка сельскохозяйственной продукции, что позволило производить разнообразную продукцию, в основном с добавленной стоимостью, и на экспорт. Кроме того, внешняя и экспортная политика Узбекистана не ограничивается географией «мер по» экспорту. Поэтому развитие современных технологий в сельском хозяйстве и использование отходов в сельском хозяйстве повысят </w:t>
      </w:r>
      <w:r w:rsidRPr="00DF774B">
        <w:rPr>
          <w:sz w:val="28"/>
          <w:szCs w:val="28"/>
          <w:lang w:val="ru-RU"/>
        </w:rPr>
        <w:lastRenderedPageBreak/>
        <w:t>конкурентоспособность сельских районов. Для достижения поставленных целей по экспорту сельскохозяйственной продукции в ближайшие годы необходимо работать в ряде важных направлений. В первую очередь, необходимо создать системы сертификации, соответствующие международным требованиям, и механизмы обеспечения качества продукции.</w:t>
      </w:r>
    </w:p>
    <w:p w:rsidR="009249CD" w:rsidRPr="00DF774B" w:rsidRDefault="009249CD" w:rsidP="008F2BEA">
      <w:pPr>
        <w:pStyle w:val="whitespace-pre-wrap"/>
        <w:widowControl w:val="0"/>
        <w:spacing w:before="0" w:beforeAutospacing="0" w:after="0" w:afterAutospacing="0" w:line="360" w:lineRule="auto"/>
        <w:jc w:val="both"/>
        <w:rPr>
          <w:sz w:val="28"/>
          <w:lang w:val="ru-RU"/>
        </w:rPr>
      </w:pPr>
      <w:r w:rsidRPr="00DF774B">
        <w:rPr>
          <w:sz w:val="28"/>
          <w:lang w:val="ru-RU"/>
        </w:rPr>
        <w:t xml:space="preserve">На данной диаграмме представлены субсидии, выделенные на сельское хозяйство и водохозяйственную деятельность в Узбекистане на 2020-2024 годы, а также прогнозные показатели на 2025-2030 годы. Согласно диаграмме, в 2020 году субсидии на сельское хозяйство и водохозяйственную деятельность составили 682,0 млрд сумов. В последующие годы эта цифра неуклонно росла: в 2021 году она составила 1296,3 млрд сумов, в 2022 году — 1384,3 млрд сумов, в 2023 году — 1553,0 млрд сумов, а в 2024 году — 1654,0 млрд сумов. Объем субсидий увеличился в 2,4 раза с 2020 по 2024 год. Представленная на диаграмме полиномиальная линия тренда ( </w:t>
      </w:r>
      <w:r w:rsidRPr="004B5D1B">
        <w:rPr>
          <w:b/>
          <w:sz w:val="28"/>
          <w:lang w:val="en-US"/>
        </w:rPr>
        <w:t>y</w:t>
      </w:r>
      <w:r w:rsidRPr="00DF774B">
        <w:rPr>
          <w:b/>
          <w:sz w:val="28"/>
          <w:lang w:val="ru-RU"/>
        </w:rPr>
        <w:t xml:space="preserve"> = 38,217</w:t>
      </w:r>
      <w:r w:rsidRPr="004B5D1B">
        <w:rPr>
          <w:b/>
          <w:sz w:val="28"/>
          <w:lang w:val="en-US"/>
        </w:rPr>
        <w:t>x</w:t>
      </w:r>
      <w:r w:rsidRPr="00DF774B">
        <w:rPr>
          <w:b/>
          <w:sz w:val="28"/>
          <w:lang w:val="ru-RU"/>
        </w:rPr>
        <w:t>³ - 231890</w:t>
      </w:r>
      <w:r w:rsidRPr="004B5D1B">
        <w:rPr>
          <w:b/>
          <w:sz w:val="28"/>
          <w:lang w:val="en-US"/>
        </w:rPr>
        <w:t>x</w:t>
      </w:r>
      <w:r w:rsidRPr="00DF774B">
        <w:rPr>
          <w:b/>
          <w:sz w:val="28"/>
          <w:lang w:val="ru-RU"/>
        </w:rPr>
        <w:t>² + 5</w:t>
      </w:r>
      <w:r w:rsidRPr="004B5D1B">
        <w:rPr>
          <w:b/>
          <w:sz w:val="28"/>
          <w:lang w:val="en-US"/>
        </w:rPr>
        <w:t>E</w:t>
      </w:r>
      <w:r w:rsidRPr="00DF774B">
        <w:rPr>
          <w:b/>
          <w:sz w:val="28"/>
          <w:lang w:val="ru-RU"/>
        </w:rPr>
        <w:t>+08</w:t>
      </w:r>
      <w:r w:rsidRPr="004B5D1B">
        <w:rPr>
          <w:b/>
          <w:sz w:val="28"/>
          <w:lang w:val="en-US"/>
        </w:rPr>
        <w:t>x</w:t>
      </w:r>
      <w:r w:rsidRPr="00DF774B">
        <w:rPr>
          <w:b/>
          <w:sz w:val="28"/>
          <w:lang w:val="ru-RU"/>
        </w:rPr>
        <w:t xml:space="preserve"> - 3</w:t>
      </w:r>
      <w:r w:rsidRPr="004B5D1B">
        <w:rPr>
          <w:b/>
          <w:sz w:val="28"/>
          <w:lang w:val="en-US"/>
        </w:rPr>
        <w:t>E</w:t>
      </w:r>
      <w:r w:rsidRPr="00DF774B">
        <w:rPr>
          <w:b/>
          <w:sz w:val="28"/>
          <w:lang w:val="ru-RU"/>
        </w:rPr>
        <w:t xml:space="preserve">+11 </w:t>
      </w:r>
      <w:r w:rsidRPr="00DF774B">
        <w:rPr>
          <w:sz w:val="28"/>
          <w:lang w:val="ru-RU"/>
        </w:rPr>
        <w:t xml:space="preserve">) точно отражает динамику субсидий, выделяемых на сельское хозяйство и водопользование, что также подтверждается коэффициентом </w:t>
      </w:r>
      <w:r w:rsidRPr="00DF1316">
        <w:rPr>
          <w:sz w:val="28"/>
          <w:lang w:val="en-US"/>
        </w:rPr>
        <w:t>R</w:t>
      </w:r>
      <w:r w:rsidRPr="00DF774B">
        <w:rPr>
          <w:sz w:val="28"/>
          <w:lang w:val="ru-RU"/>
        </w:rPr>
        <w:t>² = 0,9859. На основе этой математической модели также представлены прогнозные показатели на 2025-2030 годы, которые показывают резкое увеличение объема субсидий. Согласно прогнозу, начиная с 2026 года объем субсидий будет расти еще быстрее и к 2030 году может составить приблизительно 16-18 триллионов сумов.</w:t>
      </w:r>
    </w:p>
    <w:p w:rsidR="007C66ED" w:rsidRPr="00DF774B" w:rsidRDefault="007C66ED" w:rsidP="007C66ED">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При интерпретации этих прогнозных показателей необходимо наблюдать общую тенденцию, а не давать им непосредственные оценки. Полиномиальное моделирование может быть использовано для выражения долгосрочных прогнозов на основе высокоуровневых показателей. Хотя субсидии сельскому хозяйству, лесному хозяйству и водоснабжению в последние годы использовались деликатно, это способствовало укреплению и развитию сельского хозяйства в Узбекистане.</w:t>
      </w:r>
    </w:p>
    <w:p w:rsidR="007C66ED" w:rsidRPr="00DF774B" w:rsidRDefault="007C66ED" w:rsidP="007C66ED">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 xml:space="preserve">Сельское хозяйство является неотъемлемой и стратегической частью </w:t>
      </w:r>
      <w:r w:rsidRPr="00DF774B">
        <w:rPr>
          <w:rFonts w:eastAsia="Times New Roman"/>
          <w:kern w:val="0"/>
          <w:szCs w:val="24"/>
          <w:lang w:val="ru-RU" w:eastAsia="ru-RU"/>
        </w:rPr>
        <w:lastRenderedPageBreak/>
        <w:t>экономической системы каждого государства. Эти сектора отвечают не только за производство местной продукции, но и за занятость, социально-экономическое развитие сельских общин и развитие внешнеэкономических связей. В последние годы важную роль играют развитие сельскохозяйственных технологий, практическое применение агротехнологий и конкурентоспособность производимой продукции на международном рынке. Одна из главных целей этих задач – совершенствование инвестиционной системы и привлечение в сельскую экономику имеющихся финансовых ресурсов.</w:t>
      </w:r>
    </w:p>
    <w:p w:rsidR="007C66ED" w:rsidRPr="00DF774B" w:rsidRDefault="007C66ED" w:rsidP="007C66ED">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Мировой опыт показывает, что механизмы финансового укрепления сельских общин объясняются сложностью и научной обоснованностью исследований. В частности, если анализировать деятельность государств в области модернизации, то наиболее эффективным подходом к модернизации развития сельских районов является использование комплексных и интегрированных механизмов, созданных в сфере самоуправления между государством и частным сектором. Например, такие страны, как США, Европейский союз, Китай и Япония, добились значительных успехов в реализации инновационной политики в сельскохозяйственном секторе.</w:t>
      </w:r>
    </w:p>
    <w:p w:rsidR="007C66ED" w:rsidRPr="00DF774B" w:rsidRDefault="007C66ED" w:rsidP="007C66ED">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Одним из важнейших аспектов опыта этих стран является то, что они не используют традиционные методы финансирования развития сельских районов — субсидии или льготные кредиты. Вместо этого они широко применяют современные механизмы финансирования, такие как страховые схемы, фонды венчурного капитала, сельскохозяйственные облигации, лизинговое финансирование и форвардные контракты. Такие комплексные механизмы способствовали развитию прибыльных инвестиций и сыграли важную роль в обеспечении долгосрочной устойчивости и конкурентоспособности сельскохозяйственного сектора.</w:t>
      </w:r>
    </w:p>
    <w:p w:rsidR="007C66ED" w:rsidRPr="00DF774B" w:rsidRDefault="007C66ED" w:rsidP="007C66ED">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 xml:space="preserve">Как показывает мировой опыт, методы улучшения развития сельских районов разнообразны, и каждая страна извлекла выгоду из адаптации к своим собственным условиям. Согласно опыту соответствующих стран, одним из </w:t>
      </w:r>
      <w:r w:rsidRPr="00DF774B">
        <w:rPr>
          <w:rFonts w:eastAsia="Times New Roman"/>
          <w:kern w:val="0"/>
          <w:szCs w:val="24"/>
          <w:lang w:val="ru-RU" w:eastAsia="ru-RU"/>
        </w:rPr>
        <w:lastRenderedPageBreak/>
        <w:t>наиболее эффективных методов является разработка комплексной модели государственно-частного партнерства. Такие страны, как США, Европейский союз, Китай и Япония, добились значительного прогресса в области развития сельского хозяйства благодаря инновационным экономическим схемам. На практике эти страны не ограничиваются субсидиями или льготными кредитами, но также используют финансовые институты, такие как схемы водоснабжения, венчурные инвестиции, сельскохозяйственные облигации, договоры лизинга и форварды.</w:t>
      </w:r>
    </w:p>
    <w:p w:rsidR="007C66ED" w:rsidRPr="00DF774B" w:rsidRDefault="007C66ED" w:rsidP="007C66ED">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Сельская местность играет важную роль в экономической системе стран, обеспечивая безопасность жизни, поддерживая экономическую стабильность и способствуя социальному благополучию. Этот сектор должен использоваться для экономических ресурсов и инвестиций в стране. Инвестиции в развитие сельских районов создали возможности для совершенствования технологий, эффективного использования ресурсов и повышения производительности труда. В этой связи крайне важно проанализировать механизмы инвестиционных предложений и координацию органов.</w:t>
      </w:r>
    </w:p>
    <w:p w:rsidR="007C66ED" w:rsidRPr="00DF774B" w:rsidRDefault="007C66ED" w:rsidP="007C66ED">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Привлечение капитала для сельскохозяйственных предприятий выявило ряд проблем и рисков. Например, на инвестиции в Самаре влияют ухудшение состояния окружающей среды, доступность ресурсов, развитие сезонного загрязнения и рост коррупции. Поэтому наличие финансовых ресурсов, их доступность и практическое использование играют важную роль в финансировании проектов развития сельских районов. Таким образом, становится возможным анализ рентабельности и эффективности инвестиционных проектов с целью снижения финансовых рисков и ускорения устойчивого развития.</w:t>
      </w:r>
    </w:p>
    <w:p w:rsidR="00AD341E" w:rsidRPr="00DF774B" w:rsidRDefault="007C66ED"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В прошлом инвестиции в надлежащее корпоративное управление предлагались в различных формах.</w:t>
      </w:r>
      <w:r w:rsidR="00AD341E" w:rsidRPr="00DF774B">
        <w:rPr>
          <w:lang w:val="ru-RU"/>
        </w:rPr>
        <w:t xml:space="preserve"> </w:t>
      </w:r>
      <w:r w:rsidR="00AD341E" w:rsidRPr="00DF774B">
        <w:rPr>
          <w:rFonts w:eastAsia="Times New Roman"/>
          <w:kern w:val="0"/>
          <w:szCs w:val="24"/>
          <w:lang w:val="ru-RU" w:eastAsia="ru-RU"/>
        </w:rPr>
        <w:t xml:space="preserve">Использовано. Каждая деревня имеет свои особенности, и для развития страны необходима систематическая организация. В таких условиях главной задачей является повышение </w:t>
      </w:r>
      <w:r w:rsidR="00AD341E" w:rsidRPr="00DF774B">
        <w:rPr>
          <w:rFonts w:eastAsia="Times New Roman"/>
          <w:kern w:val="0"/>
          <w:szCs w:val="24"/>
          <w:lang w:val="ru-RU" w:eastAsia="ru-RU"/>
        </w:rPr>
        <w:lastRenderedPageBreak/>
        <w:t>производительности, улучшение качества продукции, совершенствование характеристик продукции и повышение рыночного спроса. При этом необходимо учитывать долгосрочные экономические последствия инвестиций. Поскольку эти инвестиционные проекты могут быть прибыльными в краткосрочной перспективе, в долгосрочной перспективе они могут способствовать укреплению экономики и улучшению качества жизни.</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Для определения эффективности инвестиционных проектов в сельской местности использовался ряд экономических показателей. В частности, экономическая эффективность проекта оценивалась с точки зрения рентабельности инвестиций, коэффициента оборачиваемости капитала, уровня собственности и анализа рисков. Данные анкеты использовались для определения уровня волатильности инвестиций и периода окупаемости. Кроме того, следует учитывать экономические выгоды от инвестиционных проектов в сельской местности, а также социальные и экологические последствия, поскольку реализуемые в этой области проекты влияют на жизнь местных жителей и окружающую среду. Реформирование инвестиционных механизмов, цифровизация инвестиционных процессов и разработка новых технологий имеют большое значение для развития инвестиционных возможностей. Одной из важнейших задач является совершенствование инвестиционной системы и повышение ее эффективности, накопление нового опыта и укрепление сотрудничества между государственным и частным секторами.</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Улучшение кредитного механизма страны и процентных ставок является важным условием развития инвестиционных возможностей. Эти усилия расширили доступ сельских сельскохозяйственных предприятий к экономическим ресурсам, увеличили уровень инвестиций в стране и повысили конкурентоспособность сельскохозяйственного сектора.</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 xml:space="preserve">Номинальная процентная ставка рассчитывается с учетом темпа инфляции процентной ставки, которая не является самой процентной ставкой. Например, если банк предоставляет кредит под 12%, это номинальная </w:t>
      </w:r>
      <w:r w:rsidRPr="00DF774B">
        <w:rPr>
          <w:rFonts w:eastAsia="Times New Roman"/>
          <w:kern w:val="0"/>
          <w:szCs w:val="24"/>
          <w:lang w:val="ru-RU" w:eastAsia="ru-RU"/>
        </w:rPr>
        <w:lastRenderedPageBreak/>
        <w:t>процентная ставка. Однако в экономическом анализе номинальная процентная ставка не отражает реальную стоимость кредита. Реальная процентная ставка — это процентная ставка, которая учитывается при расчете инфляции. Формула для расчета реальной процентной ставки: реальная процентная ставка = номинальная процентная ставка - темп инфляции. Например, если номинальная процентная ставка составляет 12%, а темп инфляции — 8%, то реальная процентная ставка составляет 4%.</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Это различие особенно важно в сельском хозяйстве, где цены на сельскохозяйственную продукцию носят сезонный характер, а условия жизни значительно отличаются от других регионов. Сельские экономические условия характеризуются долгосрочными циклами, и экономические условия в деревне, где используются кредиты, и в местах их использования могут существенно различаться.</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 xml:space="preserve">В мировой практике используются различные модели систем кредитного страхования. Например, в США кредитные гарантии для фермеров предоставляются через агентство сельскохозяйственных услуг, что особенно важно для молодых фермеров и мелких хозяйств. В Германии кредитные гарантии фермерам предоставляет </w:t>
      </w:r>
      <w:r w:rsidRPr="00AD341E">
        <w:rPr>
          <w:rFonts w:eastAsia="Times New Roman"/>
          <w:kern w:val="0"/>
          <w:szCs w:val="24"/>
          <w:lang w:val="en-US" w:eastAsia="ru-RU"/>
        </w:rPr>
        <w:t>Rentenbank</w:t>
      </w:r>
      <w:r w:rsidRPr="00DF774B">
        <w:rPr>
          <w:rFonts w:eastAsia="Times New Roman"/>
          <w:kern w:val="0"/>
          <w:szCs w:val="24"/>
          <w:lang w:val="ru-RU" w:eastAsia="ru-RU"/>
        </w:rPr>
        <w:t>, и эта система значительно расширила доступность кредитов для малых фермерских хозяйств.</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Для оценки эффективности системы кредитной поддержки использовались следующие показатели:</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Размер и сроки погашения обеспеченных залогом кредитов указывали на определенный избыток.</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Общая сумма микрозаймов, средняя сумма микрозайма и затронутые организационные структуры. Эти показатели являются важной частью процесса создания систем микрозаймов в сельской местности и оценки уровня охвата целевых групп.</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 xml:space="preserve">Микрокредитование призвано улучшить реальную жизнь малых предприятий. В Иудее небольшие займы недоступны домохозяйствам и могут оказать существенное влияние на их экономическое развитие. Напротив, </w:t>
      </w:r>
      <w:r w:rsidRPr="00DF774B">
        <w:rPr>
          <w:rFonts w:eastAsia="Times New Roman"/>
          <w:kern w:val="0"/>
          <w:szCs w:val="24"/>
          <w:lang w:val="ru-RU" w:eastAsia="ru-RU"/>
        </w:rPr>
        <w:lastRenderedPageBreak/>
        <w:t>очень крупные займы вытеснили микрокредитование и приблизили банки к традиционным формам кредитования. Поэтому микрокредитование требует внимательного подхода к определению оптимального размера займа.</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Уровень зрелости системы микрокредитования не является важным показателем ее характера. Как распределяется микрофинансирование по различным секторам экономики и географическим регионам страны? Микрокредитование, как и финансовые услуги, доступны в исследованных регионах.</w:t>
      </w:r>
      <w:r w:rsidRPr="00DF774B">
        <w:rPr>
          <w:lang w:val="ru-RU"/>
        </w:rPr>
        <w:t xml:space="preserve"> </w:t>
      </w:r>
      <w:r w:rsidRPr="00DF774B">
        <w:rPr>
          <w:rFonts w:eastAsia="Times New Roman"/>
          <w:kern w:val="0"/>
          <w:szCs w:val="24"/>
          <w:lang w:val="ru-RU" w:eastAsia="ru-RU"/>
        </w:rPr>
        <w:t>Микрокредитование считается важным источником дохода для фермеров. Система микрокредитования помогла улучшить качество микрокредитования.</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 xml:space="preserve">На основе мирового опыта существуют различные подходы к развитию и оптимизации качества микрокредитования. Например, в Бангладеш модель </w:t>
      </w:r>
      <w:r w:rsidRPr="00AD341E">
        <w:rPr>
          <w:rFonts w:eastAsia="Times New Roman"/>
          <w:kern w:val="0"/>
          <w:szCs w:val="24"/>
          <w:lang w:val="en-US" w:eastAsia="ru-RU"/>
        </w:rPr>
        <w:t>Grameen</w:t>
      </w:r>
      <w:r w:rsidRPr="00DF774B">
        <w:rPr>
          <w:rFonts w:eastAsia="Times New Roman"/>
          <w:kern w:val="0"/>
          <w:szCs w:val="24"/>
          <w:lang w:val="ru-RU" w:eastAsia="ru-RU"/>
        </w:rPr>
        <w:t xml:space="preserve"> </w:t>
      </w:r>
      <w:r w:rsidRPr="00AD341E">
        <w:rPr>
          <w:rFonts w:eastAsia="Times New Roman"/>
          <w:kern w:val="0"/>
          <w:szCs w:val="24"/>
          <w:lang w:val="en-US" w:eastAsia="ru-RU"/>
        </w:rPr>
        <w:t>Bank</w:t>
      </w:r>
      <w:r w:rsidRPr="00DF774B">
        <w:rPr>
          <w:rFonts w:eastAsia="Times New Roman"/>
          <w:kern w:val="0"/>
          <w:szCs w:val="24"/>
          <w:lang w:val="ru-RU" w:eastAsia="ru-RU"/>
        </w:rPr>
        <w:t xml:space="preserve"> оказалась наиболее успешной в предоставлении небольших микрокредитов (около 50-200 долларов США) беднейшим фермерам и сельским жителям. «Предоставлялись микрокредиты (около 500-2000 долларов США)», и основное внимание здесь уделяется обеспечению экономического развития.</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Развитие микрокредитования в Узбекистане может осуществляться посредством следующих мер:</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Фактическое географическое распределение микрокредитов отличается от распределения микрокредитов в разных регионах, поскольку люди в разных регионах имеют разные финансовые возможности и потребности.</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Микрозаймы предоставляются в различных секторах для различных отраслей сельского хозяйства (животноводство, сельское хозяйство, садоводство, виноградарство и т. д.).</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Система расширения микрокредитования призвана выполнять свои обязательства при условии выдачи микрокредитов на крупных биржах и увеличения суммы кредита .</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 xml:space="preserve">Разрабатывается система мониторинга микрокредитования для оценки эффективности микрокредитования и анализа результатов новой кредитной </w:t>
      </w:r>
      <w:r w:rsidRPr="00DF774B">
        <w:rPr>
          <w:rFonts w:eastAsia="Times New Roman"/>
          <w:kern w:val="0"/>
          <w:szCs w:val="24"/>
          <w:lang w:val="ru-RU" w:eastAsia="ru-RU"/>
        </w:rPr>
        <w:lastRenderedPageBreak/>
        <w:t>политики.</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Разработка новых финансовых технологий направлена на совершенствование сектора микрокредитования и расширение потенциала цифровых технологий и мобильных приложений.</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Диверсификация схем микрокредитования является важным показателем уровня управления микрокредитованием в экономике. Диверсифицированные микрокредитные учреждения предлагают финансовые продукты, отвечающие потребностям различных домохозяйств. Эта мера значительно улучшила доступ субъектов к финансовым услугам и позволила им выбрать наиболее подходящий для себя финансовый путь.</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В сфере программ микрокредитования возможна диверсификация по следующим аспектам:</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Существуют специальные программы для целевых аудиторий: молодых фермеров, женщин-предпринимателей, семейных предприятий и т. д.</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Специальные программы целевого использования включают развитие животноводства, строительство теплиц, садоводство, приобретение сельскохозяйственных земель и другие методы.</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Условия кредитования различаются у разных кредиторов, процентные ставки и требования к залоговому обеспечению также варьируются.</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Географические регионы — это программы, разработанные для конкретных территорий: горных районов, пустынных районов, долин и т. д.</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Диверсификация схем микрокредитования в сельской местности основана на следующих факторах:</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Существует возможность предоставления финансовых услуг различным группам сельских сельскохозяйственных предприятий.</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Было обеспечено целенаправленное использование микрокредитов, что способствовало расширению возможностей населения.</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 xml:space="preserve">Согласно мировому опыту, существуют различные подходы к диверсификации схем микрокредитования. Например, в Индии </w:t>
      </w:r>
      <w:r w:rsidRPr="00AD341E">
        <w:rPr>
          <w:rFonts w:eastAsia="Times New Roman"/>
          <w:kern w:val="0"/>
          <w:szCs w:val="24"/>
          <w:lang w:val="en-US" w:eastAsia="ru-RU"/>
        </w:rPr>
        <w:t>NABARD</w:t>
      </w:r>
      <w:r w:rsidRPr="00DF774B">
        <w:rPr>
          <w:rFonts w:eastAsia="Times New Roman"/>
          <w:kern w:val="0"/>
          <w:szCs w:val="24"/>
          <w:lang w:val="ru-RU" w:eastAsia="ru-RU"/>
        </w:rPr>
        <w:t xml:space="preserve"> (Национальный банк сельского хозяйства и развития сельских районов) </w:t>
      </w:r>
      <w:r w:rsidRPr="00DF774B">
        <w:rPr>
          <w:rFonts w:eastAsia="Times New Roman"/>
          <w:kern w:val="0"/>
          <w:szCs w:val="24"/>
          <w:lang w:val="ru-RU" w:eastAsia="ru-RU"/>
        </w:rPr>
        <w:lastRenderedPageBreak/>
        <w:t xml:space="preserve">предложил более 20 различных схем микрокредитования для развития сельских районов, включая развитие водных ресурсов, разведение крокодилов и развитие сельских территорий. В Боливии </w:t>
      </w:r>
      <w:r w:rsidRPr="00AD341E">
        <w:rPr>
          <w:rFonts w:eastAsia="Times New Roman"/>
          <w:kern w:val="0"/>
          <w:szCs w:val="24"/>
          <w:lang w:val="en-US" w:eastAsia="ru-RU"/>
        </w:rPr>
        <w:t>BancoSol</w:t>
      </w:r>
      <w:r w:rsidRPr="00DF774B">
        <w:rPr>
          <w:rFonts w:eastAsia="Times New Roman"/>
          <w:kern w:val="0"/>
          <w:szCs w:val="24"/>
          <w:lang w:val="ru-RU" w:eastAsia="ru-RU"/>
        </w:rPr>
        <w:t xml:space="preserve"> и </w:t>
      </w:r>
      <w:r w:rsidRPr="00AD341E">
        <w:rPr>
          <w:rFonts w:eastAsia="Times New Roman"/>
          <w:kern w:val="0"/>
          <w:szCs w:val="24"/>
          <w:lang w:val="en-US" w:eastAsia="ru-RU"/>
        </w:rPr>
        <w:t>Pro</w:t>
      </w:r>
      <w:r w:rsidRPr="00DF774B">
        <w:rPr>
          <w:rFonts w:eastAsia="Times New Roman"/>
          <w:kern w:val="0"/>
          <w:szCs w:val="24"/>
          <w:lang w:val="ru-RU" w:eastAsia="ru-RU"/>
        </w:rPr>
        <w:t xml:space="preserve"> </w:t>
      </w:r>
      <w:r w:rsidRPr="00AD341E">
        <w:rPr>
          <w:rFonts w:eastAsia="Times New Roman"/>
          <w:kern w:val="0"/>
          <w:szCs w:val="24"/>
          <w:lang w:val="en-US" w:eastAsia="ru-RU"/>
        </w:rPr>
        <w:t>Credit</w:t>
      </w:r>
      <w:r w:rsidRPr="00DF774B">
        <w:rPr>
          <w:rFonts w:eastAsia="Times New Roman"/>
          <w:kern w:val="0"/>
          <w:szCs w:val="24"/>
          <w:lang w:val="ru-RU" w:eastAsia="ru-RU"/>
        </w:rPr>
        <w:t xml:space="preserve"> </w:t>
      </w:r>
      <w:r w:rsidRPr="00AD341E">
        <w:rPr>
          <w:rFonts w:eastAsia="Times New Roman"/>
          <w:kern w:val="0"/>
          <w:szCs w:val="24"/>
          <w:lang w:val="en-US" w:eastAsia="ru-RU"/>
        </w:rPr>
        <w:t>Bank</w:t>
      </w:r>
      <w:r w:rsidRPr="00DF774B">
        <w:rPr>
          <w:rFonts w:eastAsia="Times New Roman"/>
          <w:kern w:val="0"/>
          <w:szCs w:val="24"/>
          <w:lang w:val="ru-RU" w:eastAsia="ru-RU"/>
        </w:rPr>
        <w:t xml:space="preserve"> предложили схемы микрокредитования для сельскохозяйственного производства с гибкими графиками погашения (циклы выращивания культур, циклы сбора урожая) и учетом доходов фермеров.</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В Узбекистане микрокредитование может способствовать расширению и диверсификации различных секторов экономики. В первую очередь, необходимо создать специальные механизмы микрокредитования, направленные на революционизацию инновационных технологий в агропромышленном секторе. Например, можно повысить эффективность процесса совершенствования технологий, термической обработки и органического качества продукции.</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Если вы хотите реализовать свой продукт, пожалуйста, свяжитесь с нами для получения дополнительной информации. Это принесло большую пользу деревне и значительно повысило экономическую эффективность.</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Во-первых, это характер специальных языковых курсов, проводимых для учащихся, что крайне важно для обеспечения уверенности в себе. Это, в свою очередь, способствовало повышению активности молодежи в деревнях, обеспечению их взаимосвязи и снижению уровня внутренней миграции.</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Представляем программу микрокредитования для «зеленых» предпринимателей, направленную на адаптацию к изменению климата и, таким образом, обеспечение экологической безопасности сельского хозяйства.</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Разработать схемы микрокредитования для фермеров, тем самым поддерживая гендерное равенство и улучшая благополучие семей.</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 xml:space="preserve">Механизмы микрокредитования предусматривают правовые процедуры предоставления, выдачи, мониторинга и погашения микрокредитов. Этот механизм имеет решающее значение для определения эффективности микрокредитования, поскольку он определяет уровень доступа к кредиту, время и ресурсы, необходимые для получения кредита, а также эффективность </w:t>
      </w:r>
      <w:r w:rsidRPr="00DF774B">
        <w:rPr>
          <w:rFonts w:eastAsia="Times New Roman"/>
          <w:kern w:val="0"/>
          <w:szCs w:val="24"/>
          <w:lang w:val="ru-RU" w:eastAsia="ru-RU"/>
        </w:rPr>
        <w:lastRenderedPageBreak/>
        <w:t>самого кредита.</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Эффективный механизм микрокредитования должен обладать следующими характеристиками:</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Процесс получения упрощенного списка документов должен быть простым и понятным, требуя минимального набора документов.</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В случае экстренного кредитования ситуация краткосрочная, и приходится соглашаться на сезонные сельскохозяйственные работы.</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Важно поддерживать хорошие кредитные условия. В частности, условия и графики погашения кредитов были улучшены в зависимости от сезона сбора урожая. Такая организация позволила фермерам одновременно расширить свои кредитные возможности.</w:t>
      </w:r>
    </w:p>
    <w:p w:rsidR="00AD341E" w:rsidRPr="00DF774B" w:rsidRDefault="00AD341E" w:rsidP="00AD341E">
      <w:pPr>
        <w:widowControl w:val="0"/>
        <w:spacing w:after="0" w:line="360" w:lineRule="auto"/>
        <w:ind w:firstLine="709"/>
        <w:jc w:val="both"/>
        <w:rPr>
          <w:rFonts w:eastAsia="Times New Roman"/>
          <w:kern w:val="0"/>
          <w:szCs w:val="24"/>
          <w:lang w:val="ru-RU" w:eastAsia="ru-RU"/>
        </w:rPr>
      </w:pPr>
      <w:r w:rsidRPr="00DF774B">
        <w:rPr>
          <w:rFonts w:eastAsia="Times New Roman"/>
          <w:kern w:val="0"/>
          <w:szCs w:val="24"/>
          <w:lang w:val="ru-RU" w:eastAsia="ru-RU"/>
        </w:rPr>
        <w:t>Объединение небольших фермерских хозяйств целесообразно для того, чтобы извлечь выгоду из традиционной сельской культуры Нидерландов. В частности, необходимо создать систему для получения выгоды от сельских ресурсов, общественных активов, общественного страхования и других активов, не связанных с недвижимостью.</w:t>
      </w:r>
    </w:p>
    <w:p w:rsidR="004F53DB"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4"/>
          <w:lang w:val="ru-RU" w:eastAsia="ru-RU"/>
        </w:rPr>
        <w:t xml:space="preserve">В мировой практике существуют «различные модели механизмов микрокредитования. Например, модель группового кредитования (модель банка «Грамейен»), где формируется группа из 5-10 человек, и каждый член группы становится лидером для других членов буддийской общины. Другая модель — это модель «Сельский банк», где вся сельская община отвечает за микрокредитование </w:t>
      </w:r>
      <w:r w:rsidR="004F53DB" w:rsidRPr="00DF774B">
        <w:rPr>
          <w:rFonts w:eastAsia="Times New Roman"/>
          <w:kern w:val="0"/>
          <w:szCs w:val="28"/>
          <w:lang w:val="ru-RU" w:eastAsia="ru-RU"/>
        </w:rPr>
        <w:t xml:space="preserve">» </w:t>
      </w:r>
      <w:r w:rsidR="004F53DB" w:rsidRPr="004F53DB">
        <w:rPr>
          <w:rFonts w:eastAsia="Times New Roman"/>
          <w:kern w:val="0"/>
          <w:szCs w:val="28"/>
          <w:vertAlign w:val="superscript"/>
          <w:lang w:val="en-US" w:eastAsia="ru-RU"/>
        </w:rPr>
        <w:footnoteReference w:id="34"/>
      </w:r>
      <w:r w:rsidR="004F53DB" w:rsidRPr="00DF774B">
        <w:rPr>
          <w:rFonts w:eastAsia="Times New Roman"/>
          <w:kern w:val="0"/>
          <w:szCs w:val="28"/>
          <w:lang w:val="ru-RU" w:eastAsia="ru-RU"/>
        </w:rPr>
        <w:t>.</w:t>
      </w:r>
    </w:p>
    <w:p w:rsidR="004F53DB" w:rsidRPr="00DF774B" w:rsidRDefault="004F53DB" w:rsidP="004F53DB">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Механизмы модернизации микрокредитования в Узбекистане могут быть изменены в соответствии с разработанными методами:</w:t>
      </w:r>
    </w:p>
    <w:p w:rsidR="004F53DB" w:rsidRPr="00DF774B" w:rsidRDefault="004F53DB" w:rsidP="004F53DB">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Внедрение цифровых технологий призвано упростить и ускорить процесс микрокредитования за счет мониторинга с помощью онлайн-программ, мобильных приложений, электронных платежных систем и других цифровых решений.</w:t>
      </w:r>
    </w:p>
    <w:p w:rsidR="004F53DB" w:rsidRPr="00DF774B" w:rsidRDefault="004F53DB" w:rsidP="004F53DB">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lastRenderedPageBreak/>
        <w:t>Совершенствование системы формирования «кредитной истории» заключается во внедрении практики упрощенного предоставления последующих займов и снижении процентных ставок в случаях, когда домохозяйства демонстрируют дисциплинированность в погашении предыдущих кредитов.</w:t>
      </w:r>
    </w:p>
    <w:p w:rsidR="004F53DB" w:rsidRPr="00DF774B" w:rsidRDefault="004F53DB" w:rsidP="004F53DB">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Развитие агентской сети означает увеличение числа представителей микрокредитных организаций в сельской местности, что снижает необходимость поездок в городские центры для получения кредитов.</w:t>
      </w:r>
    </w:p>
    <w:p w:rsidR="004F53DB" w:rsidRPr="00DF774B" w:rsidRDefault="004F53DB" w:rsidP="004F53DB">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Представляем программы повышения финансовой грамотности для фермеров — информирование фермеров об условиях, возможностях и обязанностях микрокредитования.</w:t>
      </w:r>
    </w:p>
    <w:p w:rsidR="004F53DB" w:rsidRPr="00DF774B" w:rsidRDefault="004F53DB" w:rsidP="004F53DB">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Внедрение механизма микрокредитования, основанного на принципе «единого портала», позволяет фермерам подавать и заполнять все необходимые документы в одном месте.</w:t>
      </w:r>
    </w:p>
    <w:p w:rsidR="004F53DB" w:rsidRPr="00DF774B" w:rsidRDefault="004F53DB" w:rsidP="004F53DB">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Улучшение механизмов контроля за целевым использованием микрокредитов, включая внедрение механизмов, обеспечивающих целевое использование заемных средств.</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Формирование инвестиционного капитала в сельской местности является одной из главных целей обеспечения экономической стабильности страны. При наличии достаточного объема капитала такой подход приводит к повышению экономической эффективности, усилению конкурентоспособности и быстрому внедрению инноваций. Такая сложная система состоит из ряда ключевых элементов, играющих важную роль в формировании инвестиционного климата.</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Источники инвестиционного капитала включают финансовые ресурсы, привлекаемые участниками сельскохозяйственного сектора для финансирования инвестиционных проектов. Эти ресурсы, полученные из различных источников, играют важную роль в обеспечении финансовой безопасности сельского населения. Расширение обращения источников капитала и их диверсификация позволили сохранить инвестиционные </w:t>
      </w:r>
      <w:r w:rsidRPr="00DF774B">
        <w:rPr>
          <w:rFonts w:eastAsia="Times New Roman"/>
          <w:kern w:val="0"/>
          <w:szCs w:val="28"/>
          <w:lang w:val="ru-RU" w:eastAsia="ru-RU"/>
        </w:rPr>
        <w:lastRenderedPageBreak/>
        <w:t>возможности в условиях внешних экономических угроз и неопределенности.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Источники инвестиционного капитала в сельской местности можно сгруппировать следующим образом:</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Государственные органы власти являются основным и важнейшим источником финансирования сельского хозяйства. Специфика этого источника заключается в следующем:</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Бюджетные субсидии и гранты — это безвозвратные средства из государственного бюджета, используемые для укрепления стратегически важных отраслей сельского хозяйства. Например, в Узбекистане существуют специальные субсидии и гранты на развитие образования и профессиональной подготовки молодежи.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Государственные инвестиционные фонды — это инструменты, используемые государством для развития сельскохозяйственной инфраструктуры. Например, модернизация ирригационных систем, развитие сельских дорог, строительство лагерей на строительных площадках логистических центров.</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Льготные государственные кредиты — это кредиты, предоставляемые государственными финансовыми учреждениями. В Узбекистане такие кредиты предоставляются такими организациями, как Министерство сельского хозяйства и развития бизнеса.</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Рыночные преимущества основаны на рыночной власти, а рыночная доля фермеров определяется их способностью инвестировать в свои районы.</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Преимущества государственного бюджета заключаются в его устойчивости и стратегическом развитии. Правительство выделяет инвестиции в соответствии с долгосрочными целями развития сельского хозяйства. Однако ограниченность этих ресурсов означает, что государственный бюджет не покрывает ограниченные ресурсы сельскохозяйственного сектора.</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Фирмы прямых инвестиций рассматривают финансовое состояние экономики страны как важный актив. Отличительными особенностями этого </w:t>
      </w:r>
      <w:r w:rsidRPr="00DF774B">
        <w:rPr>
          <w:rFonts w:eastAsia="Times New Roman"/>
          <w:kern w:val="0"/>
          <w:szCs w:val="28"/>
          <w:lang w:val="ru-RU" w:eastAsia="ru-RU"/>
        </w:rPr>
        <w:lastRenderedPageBreak/>
        <w:t>ресурса являются:</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Собственные фермерские объединения получали проценты, амортизационные отчисления и другие внутренние ресурсы от экономической деятельности сельскохозяйственных предприятий. Это наиболее экономически и операционно выгодная часть инвестиций, поскольку расстояние до места получения энергии фиксировано.</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Кредиты коммерческих банков — это кредиты, предоставляемые банками или местными органами власти сельским сельскохозяйственным организациям. В комнату принесли рыночного нарциссиста и потребовали внести залог.</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Лизинговые компании — это лизинговые специалисты и лизинговые партнеры. Модернизация лизингового оборудования — это способ модернизации лизингового рынка, поскольку предложение платежей относительно невелико, а платежи осуществляются из дохода, получаемого от использования машины.</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Венчурные фонды и фонды прямых инвестиций — это инвесторы, которые финансируют высокотехнологичные проекты в сельской местности. Эти ресурсы используются в качестве основы для инновационных и прибыльных проектов.</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Агропромышленные кластеры — это вертикально интегрированные системы, инвестирующие в сельскохозяйственную революцию. Например, был введен доход для фермеров, чтобы гарантировать возвращение рабочих мест в их дома.</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Для частных инвесторов характерна гибкость и быстрая реакция на рыночный спрос. С другой стороны, в процессе развития частные инвесторы, как правило, заинтересованы в проектах, приносящих прибыль в краткосрочной перспективе и не учитывающих долгосрочные потребности сельской революции.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Иностранные инвестиции являются важным источником дохода для развития сельских районов. Специфические характеристики этого ресурса:</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lastRenderedPageBreak/>
        <w:t>Прямые сельскохозяйственные инвестиции — это инвестиции, осуществляемые сельскохозяйственными компаниями в стране. Например, инвестиции в тепличные хозяйства, заводы по переработке фруктов и овощей и другие объекты в Узбекистане.</w:t>
      </w:r>
      <w:r w:rsidRPr="00DF774B">
        <w:rPr>
          <w:lang w:val="ru-RU"/>
        </w:rPr>
        <w:t xml:space="preserve"> </w:t>
      </w:r>
      <w:r w:rsidRPr="00DF774B">
        <w:rPr>
          <w:rFonts w:eastAsia="Times New Roman"/>
          <w:kern w:val="0"/>
          <w:szCs w:val="28"/>
          <w:lang w:val="ru-RU" w:eastAsia="ru-RU"/>
        </w:rPr>
        <w:t xml:space="preserve">В настоящее время проектом </w:t>
      </w:r>
      <w:r w:rsidRPr="00AD341E">
        <w:rPr>
          <w:rFonts w:eastAsia="Times New Roman"/>
          <w:kern w:val="0"/>
          <w:szCs w:val="28"/>
          <w:lang w:val="en-US" w:eastAsia="ru-RU"/>
        </w:rPr>
        <w:t>Easton</w:t>
      </w:r>
      <w:r w:rsidRPr="00DF774B">
        <w:rPr>
          <w:rFonts w:eastAsia="Times New Roman"/>
          <w:kern w:val="0"/>
          <w:szCs w:val="28"/>
          <w:lang w:val="ru-RU" w:eastAsia="ru-RU"/>
        </w:rPr>
        <w:t xml:space="preserve"> занимаются китайские и турецкие компании.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Кредиты от международных финансовых институтов, таких как Всемирный банк, Азиатский банк развития, Исламский банк развития и МФСР, использовались для укрепления проектов стратегического значения в экономике страны.</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Международные гранты и фонды технической помощи представляют собой безвозвратные займы от международных доноров. Например, гранты предоставляются Продовольственной и сельскохозяйственной организацией ООН (ФАО), Программой развития ООН (ПРООН), </w:t>
      </w:r>
      <w:r w:rsidRPr="00AD341E">
        <w:rPr>
          <w:rFonts w:eastAsia="Times New Roman"/>
          <w:kern w:val="0"/>
          <w:szCs w:val="28"/>
          <w:lang w:val="en-US" w:eastAsia="ru-RU"/>
        </w:rPr>
        <w:t>GIZ</w:t>
      </w:r>
      <w:r w:rsidRPr="00DF774B">
        <w:rPr>
          <w:rFonts w:eastAsia="Times New Roman"/>
          <w:kern w:val="0"/>
          <w:szCs w:val="28"/>
          <w:lang w:val="ru-RU" w:eastAsia="ru-RU"/>
        </w:rPr>
        <w:t xml:space="preserve"> и </w:t>
      </w:r>
      <w:r w:rsidRPr="00AD341E">
        <w:rPr>
          <w:rFonts w:eastAsia="Times New Roman"/>
          <w:kern w:val="0"/>
          <w:szCs w:val="28"/>
          <w:lang w:val="en-US" w:eastAsia="ru-RU"/>
        </w:rPr>
        <w:t>USAID</w:t>
      </w:r>
      <w:r w:rsidRPr="00DF774B">
        <w:rPr>
          <w:rFonts w:eastAsia="Times New Roman"/>
          <w:kern w:val="0"/>
          <w:szCs w:val="28"/>
          <w:lang w:val="ru-RU" w:eastAsia="ru-RU"/>
        </w:rPr>
        <w:t>.</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С помощью этого механизма можно привлекать еврооблигации и международные ценные бумаги, что позволяет сельскохозяйственным предприятиям и крупным компаниям привлекать средства от международных банков.</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Механизмы инновационного обмена в сельском хозяйстве в современном обществе:</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Краудфандинг — это механизм привлечения средств от множества мелких инвесторов через онлайн-платформы. Например, в Казахстане платформа </w:t>
      </w:r>
      <w:r w:rsidRPr="00AD341E">
        <w:rPr>
          <w:rFonts w:eastAsia="Times New Roman"/>
          <w:kern w:val="0"/>
          <w:szCs w:val="28"/>
          <w:lang w:val="en-US" w:eastAsia="ru-RU"/>
        </w:rPr>
        <w:t>AgroInvest</w:t>
      </w:r>
      <w:r w:rsidRPr="00DF774B">
        <w:rPr>
          <w:rFonts w:eastAsia="Times New Roman"/>
          <w:kern w:val="0"/>
          <w:szCs w:val="28"/>
          <w:lang w:val="ru-RU" w:eastAsia="ru-RU"/>
        </w:rPr>
        <w:t xml:space="preserve"> предназначена для финансирования фермерских проектов посредством краудфандинга.</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«Зеленые облигации» — это вид финансового инструмента, предназначенного для повышения экологической устойчивости сельских районов. Они могут привлекать инвестиции в органическое сельское хозяйство, водосберегающие технологии и возобновляемые источники энергии.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В исламе существуют такие финансовые инструменты, как сукук, мурабаха и мушарака. Эти механизмы представляют собой перспективный </w:t>
      </w:r>
      <w:r w:rsidRPr="00DF774B">
        <w:rPr>
          <w:rFonts w:eastAsia="Times New Roman"/>
          <w:kern w:val="0"/>
          <w:szCs w:val="28"/>
          <w:lang w:val="ru-RU" w:eastAsia="ru-RU"/>
        </w:rPr>
        <w:lastRenderedPageBreak/>
        <w:t>способ для таких стран, как Узбекистан, улучшить качество жизни.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Цифровые финансы — это финансовые услуги, основанные на мобильных платформах, электронных платежных системах и технологиях блокчейн. Например, в Кении они развиваются посредством микрокредитования и платежей фермерам через систему </w:t>
      </w:r>
      <w:r w:rsidRPr="00AD341E">
        <w:rPr>
          <w:rFonts w:eastAsia="Times New Roman"/>
          <w:kern w:val="0"/>
          <w:szCs w:val="28"/>
          <w:lang w:val="en-US" w:eastAsia="ru-RU"/>
        </w:rPr>
        <w:t>M</w:t>
      </w:r>
      <w:r w:rsidRPr="00DF774B">
        <w:rPr>
          <w:rFonts w:eastAsia="Times New Roman"/>
          <w:kern w:val="0"/>
          <w:szCs w:val="28"/>
          <w:lang w:val="ru-RU" w:eastAsia="ru-RU"/>
        </w:rPr>
        <w:t>-</w:t>
      </w:r>
      <w:r w:rsidRPr="00AD341E">
        <w:rPr>
          <w:rFonts w:eastAsia="Times New Roman"/>
          <w:kern w:val="0"/>
          <w:szCs w:val="28"/>
          <w:lang w:val="en-US" w:eastAsia="ru-RU"/>
        </w:rPr>
        <w:t>Pesa</w:t>
      </w:r>
      <w:r w:rsidRPr="00DF774B">
        <w:rPr>
          <w:rFonts w:eastAsia="Times New Roman"/>
          <w:kern w:val="0"/>
          <w:szCs w:val="28"/>
          <w:lang w:val="ru-RU" w:eastAsia="ru-RU"/>
        </w:rPr>
        <w:t>.</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Инвестиции в ассоциацию представляют собой проекты, направленные на развитие инфраструктуры. Данный проект включал в себя:</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Инвестиции были направлены на сельскохозяйственную технику и оборудование, такие как тракторы, комбайны, жатки, культиваторы и ирригационные системы. В последние годы Узбекистан придает большое значение развитию страны, поскольку модернизация существующих наук является необходимой задачей.</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Здания и производственные объекты — инвестиции в строительство административных зданий, складов, холодильных камер, агропарков и других сооружений для фермерских хозяйств.</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Системы орошения и мелиорации земель — ирригационные сети, дренажные системы, насосные станции, артезианские скважины и другие водохранилища.</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Транспортно-логистическая инфраструктура – инвестиции в модернизацию дорог, железных дорог, логистических терминалов, объектов холодовой цепи и другой логистической инфраструктуры.</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Несмотря на критику со стороны ассоциации, жители деревни продемонстрировали свою эффективность и трудолюбие на деликатном уровне. Однако их недостаток заключается в том, что даже в этом случае эти инвестиции не окупаются, имеют ограниченный срок и требуют очень больших первоначальных вложений.</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Инвестиции в инновационные технологии — это проекты, направленные на повышение технологического уровня страны и развитие современных методов развития. Данный проект включал в себя:</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К числу новых сельскохозяйственных технологий относятся системы </w:t>
      </w:r>
      <w:r w:rsidRPr="00AD341E">
        <w:rPr>
          <w:rFonts w:eastAsia="Times New Roman"/>
          <w:kern w:val="0"/>
          <w:szCs w:val="28"/>
          <w:lang w:val="en-US" w:eastAsia="ru-RU"/>
        </w:rPr>
        <w:lastRenderedPageBreak/>
        <w:t>GPS</w:t>
      </w:r>
      <w:r w:rsidRPr="00DF774B">
        <w:rPr>
          <w:rFonts w:eastAsia="Times New Roman"/>
          <w:kern w:val="0"/>
          <w:szCs w:val="28"/>
          <w:lang w:val="ru-RU" w:eastAsia="ru-RU"/>
        </w:rPr>
        <w:t>-навигации, дроны, датчики и системы защиты растений на основе искусственного интеллекта. Эти технологии позволяют эффективно использовать ресурсы (водоток, пестициды, воду).</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Цифровые системы земледелия — мобильные устройства, данные о фермерских хозяйствах, передаваемые от фермера к фермеру, системы анализа данных, технологии блокчейн. Эти списки помогли улучшить качество жизни в сельской местности.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Биотехнология — это генетика и генная инженерия, культура, биологические науки и биологическое управление. Эти технологии призваны повысить производительность и обеспечить экологическую устойчивость сельского хозяйства.</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Ресурсосберегающие технологии — восполнение запасов сахара, очистка, замещение и органические системы. Эти технологии позволяют эффективно использовать ресурсы и минимизировать воздействие на окружающую среду.</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Инвестиции в инновационные технологии позволили экономике страны перейти от джихадистского характера к новому. Такие технологии обеспечивают эффективное использование ресурсов и повышают конкурентоспособность отходов. Кроме того, для их эффективного внедрения необходимы высококвалифицированные местные специалисты и соответствующая инфраструктура.</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Инсон Капитал Инвестиции</w:t>
      </w:r>
      <w:r w:rsidRPr="00DF774B">
        <w:rPr>
          <w:lang w:val="ru-RU"/>
        </w:rPr>
        <w:t xml:space="preserve"> </w:t>
      </w:r>
      <w:r w:rsidRPr="00DF774B">
        <w:rPr>
          <w:rFonts w:eastAsia="Times New Roman"/>
          <w:kern w:val="0"/>
          <w:szCs w:val="28"/>
          <w:lang w:val="ru-RU" w:eastAsia="ru-RU"/>
        </w:rPr>
        <w:t>Профессионалы и фермеры, работающие в деревне, ищут работу. Основные структурные элементы этой полевой скважины были следующими: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Система образования и воспитания должна быть ориентирована на развитие национальной инфраструктуры и других специализированных учебных заведений, предоставление стипендий студентам и расширение образовательных возможностей в зарубежных университетах;</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Консультационные и оперативные услуги — консультирование фермеров, создание экспериментальных полей и зон отдыха.</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lastRenderedPageBreak/>
        <w:t>Инвестиции в эту область принесут значительные результаты в долгосрочной перспективе и создадут прочную основу для развития инновационных технологий. Однако такие прогнозы неудовлетворительны, и сложно оценить результаты их применения в стране. Инвестиции играют важную роль в обеспечении надлежащего развития сельских районов путем распределения инвестиций между налогоплательщиками и регионами. Оптимальное распределение ресурсов позволило эффективно использовать ресурсы и устранить неравенство в развитии сельской бедности.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Экспортные сектора включают фрукты и овощи, овощи, виноград, сухофрукты, овощи и фруктово-овощную продукцию. Инвестиции в эти страны увеличили валютные поступления и привели к диверсификации экспорта.</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Распределение инвестиций в сельских районах имеет важное значение. Проверенное распределение инвестиций по регионам обеспечивает справедливую и сбалансированную экономику.</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При оптимизации распределения инвестиций по регионам следует учитывать следующие факторы:</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Природно-климатические условия — это метод, учитывающий почвенные, климатические, гидрологические и другие природные условия каждого региона. Например, в пустынных и полупустынных регионах он хотел инвестировать в тепличные технологии производства и переработки.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Уровень существующей инфраструктуры отражает уровень обеспечения транспортом, энергией, ирригацией и другими инфраструктурными объектами. Цель состоит в инвестировании в перерабатывающие заводы и логистические центры в районах, где необходима инфраструктура.</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Наличие трудовых ресурсов и квалифицированных кадров отражало качество работы в данном регионе. Рабочие места создавались в тех областях, где имелись трудовые ресурсы.</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В результате совершенствования механизмов государственно-частного партнерства в аграрной отрасли наладилось весьма плодотворное </w:t>
      </w:r>
      <w:r w:rsidRPr="00DF774B">
        <w:rPr>
          <w:rFonts w:eastAsia="Times New Roman"/>
          <w:kern w:val="0"/>
          <w:szCs w:val="28"/>
          <w:lang w:val="ru-RU" w:eastAsia="ru-RU"/>
        </w:rPr>
        <w:lastRenderedPageBreak/>
        <w:t>сотрудничество между фермерами, хозяйствующими субъектами и государственными органами. Такая самодостаточность создала возможности для эффективного использования ресурсов, развития технологий, повышения экономической эффективности и формирования основы для развития отрасли.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Данный механизм совершенствуется в следующих исследованиях:</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Существуют различные формы партнерства между государственным и частным секторами, используемые для улучшения инфраструктуры, разработки новых технологий и создания маркетинговых и маркетинговых агентств. Такая самоопределенность была достигнута благодаря техническому развитию села и технической структуре мероприятий, и в результате общее экономическое развитие находится на разумном уровне.</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Органическое земледелие имеет огромное значение для развития регионального сельского хозяйства, особенно развитие государственно-частного партнерства. В этом случае правительство может предоставлять стимулы и субсидии для производства органических удобрений, а частный сектор может совершенствовать процессы производства удобрений с использованием передовых технологий. Это обеспечивает экологическую устойчивость, качество продукции и повышает конкурентоспособность.</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Опыт государственно-частного партнерства играет важную роль в развитии технологий и технологий, а также в стратегическом характере модернизации экономики страны. Этот механизм позволил эффективно использовать ресурсы, расширить производственные мощности и ускорить общие темпы экономического развития. Показатели условий реализации являются одним из важнейших факторов при осуществлении инвестиционных проектов в сельской местности.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Обилие объектов интеллектуальной собственности, таких как патенты, полезные модели и селекционные материалы в агропромышленном секторе, подтверждает важность инноваций и творчества. На основе этих объектов производятся и разрабатываются современные продукты и технологии. Это повысило конкурентоспособность сельского населения и укрепило его </w:t>
      </w:r>
      <w:r w:rsidRPr="00DF774B">
        <w:rPr>
          <w:rFonts w:eastAsia="Times New Roman"/>
          <w:kern w:val="0"/>
          <w:szCs w:val="28"/>
          <w:lang w:val="ru-RU" w:eastAsia="ru-RU"/>
        </w:rPr>
        <w:lastRenderedPageBreak/>
        <w:t>экономическую независимость. Превращение интеллектуальной собственности в экономически полезный ресурс является главной задачей людей.</w:t>
      </w:r>
      <w:r w:rsidRPr="00DF774B">
        <w:rPr>
          <w:lang w:val="ru-RU"/>
        </w:rPr>
        <w:t xml:space="preserve"> </w:t>
      </w:r>
      <w:r w:rsidRPr="00DF774B">
        <w:rPr>
          <w:rFonts w:eastAsia="Times New Roman"/>
          <w:kern w:val="0"/>
          <w:szCs w:val="28"/>
          <w:lang w:val="ru-RU" w:eastAsia="ru-RU"/>
        </w:rPr>
        <w:t>Обеспечивается эффективное функционирование инновационной системы. Эти механизмы создали возможности для фермеров, агропредприятий и других предприятий, а также благоприятные условия для эффективного использования ресурсов и развития сельскохозяйственных предприятий.</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В частности, важной аналитической темой является общий характер законов об инновациях. Такой высокий уровень образования связан с широким использованием передовых технологий и современных методов в промышленности, что в значительной степени стимулирует инновации.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Инвестиции в новые технологии являются важным показателем эффективности инвестиций. Новые технологии позволили повысить производительность, сократить отходы и обеспечить экологическую безопасность. Количественное и качественное развитие объектов интеллектуальной собственности, таких как патенты, полезные модели и генеалогии, является одним из главных механизмов инноваций. Увеличение их числа открывает возможности для широкого применения научно-технических достижений в сельском хозяйстве. Объем инвестиций, с одной стороны, обеспечивает непрерывное проведение научных исследований, с другой — необходима научная база для развития сельскохозяйственных исследований.</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Рентабельность инновационных проектов в сравнении с традиционными инвестиционными проектами позволила определить их долгосрочную прибыльность. Этот экономический показатель оценивает рентабельность инноваций. Высокая рентабельность инновационных проектов продемонстрировала их экономический успех и послужила стимулом для реализации подобных проектов в будущем.</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Эффективная сельская экономика является одним из ключевых факторов, необходимых для успешной реализации инвестиционных проектов. </w:t>
      </w:r>
      <w:r w:rsidRPr="00DF774B">
        <w:rPr>
          <w:rFonts w:eastAsia="Times New Roman"/>
          <w:kern w:val="0"/>
          <w:szCs w:val="28"/>
          <w:lang w:val="ru-RU" w:eastAsia="ru-RU"/>
        </w:rPr>
        <w:lastRenderedPageBreak/>
        <w:t>Этот процесс играет важную роль в обеспечении экономической безопасности фермеров и предприятий, снижении неопределенности в агропромышленном секторе и укреплении инвестиционной безопасности. Наличие эффективной системы страхования позволило фермерам и предприятиям защитить себя от экологических, стихийных бедствий и других угроз.</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Уровень использования механизмов защиты от наркоторговли является важным фактором в развитии управленческой безопасности. Эти механизмы обеспечили финансовую безопасность предприятий и снизили экономические потери, вызванные сезонными колебаниями и неблагоприятными условиями.</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Степень диверсификации инвестиционного портфеля также имеет важное значение. Хорошо диверсифицированный портфель помогает снизить инвестиционный риск и повысить экономическую стабильность. Значительный объем портфеля может быть сформирован различными способами. Стресс-тесты важны для выявления и оценки рисков, возникающих в различных ситуациях и экстремальных экономических условиях. Результаты этих тестов позволяют защитить инвестиционные проекты от рисков, минимизировать возможные нарушения и обеспечить устойчивость проектов.</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Обеспечение безопасности в сельской местности играет важную роль в обеспечении безопасности и защиты населения. Эта система помогла выявить риски, снизить их и принять соответствующие меры для улучшения качества жизни. В результате фермерам и сельскохозяйственным предприятиям была оказана финансовая помощь.</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В контексте развития сельских районов меры по снижению рисков повысили инвестиционную безопасность, укрепили финансовую стабильность и создали возможности для экономической устойчивости. Это, в свою очередь, повысило стабильность инвестиционной среды на рынке и создало благоприятные условия для инвесторов.</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Сегодня в сельской местности в глобальном масштабе происходят многочисленные структурные изменения. Изменение климата оказало </w:t>
      </w:r>
      <w:r w:rsidRPr="00DF774B">
        <w:rPr>
          <w:rFonts w:eastAsia="Times New Roman"/>
          <w:kern w:val="0"/>
          <w:szCs w:val="28"/>
          <w:lang w:val="ru-RU" w:eastAsia="ru-RU"/>
        </w:rPr>
        <w:lastRenderedPageBreak/>
        <w:t>существенное влияние на темпы роста и негативно сказалось на благополучии сельского населения. Для улучшения природных ресурсов, а также качества воды, необходимо внедрение новых инновационных технологий.</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Согласно прогнозам ООН, к 2050 году население мира увеличится на 9,7 миллиарда человек, что примерно в 70 раз усугубит глобальный кризис продовольственной безопасности. Однако для достижения этих целей невозможно расширить каждый сектор, используемый в сельском хозяйстве. Это потребовало разработки инвестиционной стратегии, основанной на эффективном использовании существующих ресурсов и инновационных подходах.</w:t>
      </w:r>
    </w:p>
    <w:p w:rsidR="00AD341E"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Цифровые технологии, а также современные системы мониторинга, являются одним из наиболее эффективных и перспективных способов повышения качества услуг, предоставляемых в сельской местности.</w:t>
      </w:r>
      <w:r w:rsidRPr="00DF774B">
        <w:rPr>
          <w:lang w:val="ru-RU"/>
        </w:rPr>
        <w:t xml:space="preserve"> </w:t>
      </w:r>
      <w:r w:rsidRPr="00DF774B">
        <w:rPr>
          <w:rFonts w:eastAsia="Times New Roman"/>
          <w:kern w:val="0"/>
          <w:szCs w:val="28"/>
          <w:lang w:val="ru-RU" w:eastAsia="ru-RU"/>
        </w:rPr>
        <w:t>Такой подход способствует обеспечению устойчивого развития окружающей среды, оптимизации ресурсов и поддержанию экологического баланса.</w:t>
      </w:r>
    </w:p>
    <w:p w:rsidR="004F53DB" w:rsidRPr="00DF774B" w:rsidRDefault="00AD341E" w:rsidP="00AD341E">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Цифровые системы мониторинга — это датчики, дроны, устройства с искусственным интеллектом и интернет-устройства — позволяют ученым собирать, передавать, анализировать и обрабатывать данные о перемещении сельскохозяйственных объектов в режиме реального времени. Главная цель таких структур — обеспечение контроля над всеми областями развития сельских территорий, создание базы данных для быстрого принятия решений и укрепление координации коридоров развития сельских территорий. Современные цифровые системы мониторинга могут дополнять информацию, возможно, используя алгоритмы искусственного интеллекта и машинного обучения в области анализа и обработки данных.</w:t>
      </w:r>
    </w:p>
    <w:p w:rsidR="004F53DB" w:rsidRPr="00DF774B" w:rsidRDefault="004F53DB" w:rsidP="004F53DB">
      <w:pPr>
        <w:widowControl w:val="0"/>
        <w:spacing w:after="0" w:line="360" w:lineRule="auto"/>
        <w:ind w:firstLine="709"/>
        <w:jc w:val="both"/>
        <w:rPr>
          <w:rFonts w:eastAsia="Times New Roman"/>
          <w:color w:val="000000"/>
          <w:kern w:val="0"/>
          <w:szCs w:val="28"/>
          <w:lang w:val="ru-RU" w:eastAsia="ru-RU"/>
        </w:rPr>
      </w:pPr>
      <w:r w:rsidRPr="00DF774B">
        <w:rPr>
          <w:rFonts w:eastAsia="Times New Roman"/>
          <w:kern w:val="0"/>
          <w:szCs w:val="28"/>
          <w:lang w:val="ru-RU" w:eastAsia="ru-RU"/>
        </w:rPr>
        <w:t xml:space="preserve">Международный опыт показывает, что внедрение цифровых систем мониторинга позволяет повысить эффективность сельскохозяйственных предприятий на 20-30%, сэкономить ресурсы на 15-25% и значительно снизить негативное воздействие на окружающую среду. </w:t>
      </w:r>
      <w:r w:rsidRPr="00DF774B">
        <w:rPr>
          <w:rFonts w:eastAsia="Times New Roman"/>
          <w:color w:val="000000"/>
          <w:kern w:val="0"/>
          <w:szCs w:val="28"/>
          <w:lang w:val="ru-RU" w:eastAsia="ru-RU"/>
        </w:rPr>
        <w:t xml:space="preserve">Благодаря цифровым системам мониторинга в сельском хозяйстве многие развитые и </w:t>
      </w:r>
      <w:r w:rsidRPr="00DF774B">
        <w:rPr>
          <w:rFonts w:eastAsia="Times New Roman"/>
          <w:color w:val="000000"/>
          <w:kern w:val="0"/>
          <w:szCs w:val="28"/>
          <w:lang w:val="ru-RU" w:eastAsia="ru-RU"/>
        </w:rPr>
        <w:lastRenderedPageBreak/>
        <w:t xml:space="preserve">развивающиеся страны достигают высокой эффективности. В частности, США являются мировым лидером по внедрению цифровых сельскохозяйственных технологий. Американские фермеры широко используют </w:t>
      </w:r>
      <w:r w:rsidRPr="004F53DB">
        <w:rPr>
          <w:rFonts w:eastAsia="Times New Roman"/>
          <w:color w:val="000000"/>
          <w:kern w:val="0"/>
          <w:szCs w:val="28"/>
          <w:lang w:val="en-US" w:eastAsia="ru-RU"/>
        </w:rPr>
        <w:t>GPS</w:t>
      </w:r>
      <w:r w:rsidRPr="00DF774B">
        <w:rPr>
          <w:rFonts w:eastAsia="Times New Roman"/>
          <w:color w:val="000000"/>
          <w:kern w:val="0"/>
          <w:szCs w:val="28"/>
          <w:lang w:val="ru-RU" w:eastAsia="ru-RU"/>
        </w:rPr>
        <w:t xml:space="preserve">-технологии для управления своими полями </w:t>
      </w:r>
      <w:r w:rsidRPr="004F53DB">
        <w:rPr>
          <w:rFonts w:eastAsia="Times New Roman"/>
          <w:color w:val="000000"/>
          <w:kern w:val="0"/>
          <w:szCs w:val="28"/>
          <w:vertAlign w:val="superscript"/>
          <w:lang w:val="en-US" w:eastAsia="ru-RU"/>
        </w:rPr>
        <w:footnoteReference w:id="35"/>
      </w:r>
      <w:r w:rsidRPr="00DF774B">
        <w:rPr>
          <w:rFonts w:eastAsia="Times New Roman"/>
          <w:color w:val="000000"/>
          <w:kern w:val="0"/>
          <w:szCs w:val="28"/>
          <w:lang w:val="ru-RU" w:eastAsia="ru-RU"/>
        </w:rPr>
        <w:t>.</w:t>
      </w:r>
    </w:p>
    <w:p w:rsidR="004F53DB" w:rsidRPr="00DF774B" w:rsidRDefault="004F53DB" w:rsidP="004F53DB">
      <w:pPr>
        <w:widowControl w:val="0"/>
        <w:spacing w:after="0" w:line="360" w:lineRule="auto"/>
        <w:ind w:firstLine="708"/>
        <w:jc w:val="both"/>
        <w:outlineLvl w:val="1"/>
        <w:rPr>
          <w:rFonts w:eastAsia="Times New Roman"/>
          <w:bCs/>
          <w:color w:val="000000"/>
          <w:kern w:val="0"/>
          <w:szCs w:val="28"/>
          <w:lang w:val="ru-RU" w:eastAsia="ru-RU"/>
        </w:rPr>
      </w:pPr>
      <w:r w:rsidRPr="00DF774B">
        <w:rPr>
          <w:rFonts w:eastAsia="Times New Roman"/>
          <w:bCs/>
          <w:color w:val="000000"/>
          <w:kern w:val="0"/>
          <w:szCs w:val="28"/>
          <w:lang w:val="ru-RU" w:eastAsia="ru-RU"/>
        </w:rPr>
        <w:t xml:space="preserve">Платформа </w:t>
      </w:r>
      <w:r w:rsidRPr="004F53DB">
        <w:rPr>
          <w:rFonts w:eastAsia="Times New Roman"/>
          <w:bCs/>
          <w:color w:val="000000"/>
          <w:kern w:val="0"/>
          <w:szCs w:val="28"/>
          <w:lang w:val="en-US" w:eastAsia="ru-RU"/>
        </w:rPr>
        <w:t>Climate</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FieldView</w:t>
      </w:r>
      <w:r w:rsidRPr="00DF774B">
        <w:rPr>
          <w:rFonts w:eastAsia="Times New Roman"/>
          <w:bCs/>
          <w:color w:val="000000"/>
          <w:kern w:val="0"/>
          <w:szCs w:val="28"/>
          <w:lang w:val="ru-RU" w:eastAsia="ru-RU"/>
        </w:rPr>
        <w:t xml:space="preserve">, созданная компанией </w:t>
      </w:r>
      <w:r w:rsidRPr="004F53DB">
        <w:rPr>
          <w:rFonts w:eastAsia="Times New Roman"/>
          <w:bCs/>
          <w:color w:val="000000"/>
          <w:kern w:val="0"/>
          <w:szCs w:val="28"/>
          <w:lang w:val="en-US" w:eastAsia="ru-RU"/>
        </w:rPr>
        <w:t>Climate</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Corporation</w:t>
      </w:r>
      <w:r w:rsidRPr="00DF774B">
        <w:rPr>
          <w:rFonts w:eastAsia="Times New Roman"/>
          <w:bCs/>
          <w:color w:val="000000"/>
          <w:kern w:val="0"/>
          <w:szCs w:val="28"/>
          <w:lang w:val="ru-RU" w:eastAsia="ru-RU"/>
        </w:rPr>
        <w:t xml:space="preserve"> (приобретенной </w:t>
      </w:r>
      <w:r w:rsidRPr="004F53DB">
        <w:rPr>
          <w:rFonts w:eastAsia="Times New Roman"/>
          <w:bCs/>
          <w:color w:val="000000"/>
          <w:kern w:val="0"/>
          <w:szCs w:val="28"/>
          <w:lang w:val="en-US" w:eastAsia="ru-RU"/>
        </w:rPr>
        <w:t>Monsanto</w:t>
      </w:r>
      <w:r w:rsidRPr="00DF774B">
        <w:rPr>
          <w:rFonts w:eastAsia="Times New Roman"/>
          <w:bCs/>
          <w:color w:val="000000"/>
          <w:kern w:val="0"/>
          <w:szCs w:val="28"/>
          <w:lang w:val="ru-RU" w:eastAsia="ru-RU"/>
        </w:rPr>
        <w:t xml:space="preserve">), охватывает более 100 миллионов гектаров земли и используется более чем 150 000 фермеров </w:t>
      </w:r>
      <w:r w:rsidRPr="004F53DB">
        <w:rPr>
          <w:rFonts w:eastAsia="Times New Roman"/>
          <w:bCs/>
          <w:color w:val="000000"/>
          <w:kern w:val="0"/>
          <w:szCs w:val="28"/>
          <w:vertAlign w:val="superscript"/>
          <w:lang w:val="en-US" w:eastAsia="ru-RU"/>
        </w:rPr>
        <w:footnoteReference w:id="36"/>
      </w:r>
      <w:r w:rsidRPr="00DF774B">
        <w:rPr>
          <w:rFonts w:eastAsia="Times New Roman"/>
          <w:bCs/>
          <w:color w:val="000000"/>
          <w:kern w:val="0"/>
          <w:szCs w:val="28"/>
          <w:lang w:val="ru-RU" w:eastAsia="ru-RU"/>
        </w:rPr>
        <w:t xml:space="preserve">. Платформа позволяет отслеживать погоду, состояние почвы, растений и другие параметры в режиме реального времени, анализировать данные и поддерживать принятие решений. Более 25% фермеров США используют дроны для мониторинга своих полей. Эта технология позволяет оценивать состояние урожая, выявлять вредителей и болезни, а также контролировать потребление воды. Система </w:t>
      </w:r>
      <w:r w:rsidRPr="004F53DB">
        <w:rPr>
          <w:rFonts w:eastAsia="Times New Roman"/>
          <w:bCs/>
          <w:color w:val="000000"/>
          <w:kern w:val="0"/>
          <w:szCs w:val="28"/>
          <w:lang w:val="en-US" w:eastAsia="ru-RU"/>
        </w:rPr>
        <w:t>Crop</w:t>
      </w:r>
      <w:r w:rsidRPr="00DF774B">
        <w:rPr>
          <w:rFonts w:eastAsia="Times New Roman"/>
          <w:bCs/>
          <w:color w:val="000000"/>
          <w:kern w:val="0"/>
          <w:szCs w:val="28"/>
          <w:lang w:val="ru-RU" w:eastAsia="ru-RU"/>
        </w:rPr>
        <w:t>-</w:t>
      </w:r>
      <w:r w:rsidRPr="004F53DB">
        <w:rPr>
          <w:rFonts w:eastAsia="Times New Roman"/>
          <w:bCs/>
          <w:color w:val="000000"/>
          <w:kern w:val="0"/>
          <w:szCs w:val="28"/>
          <w:lang w:val="en-US" w:eastAsia="ru-RU"/>
        </w:rPr>
        <w:t>CASMA</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Crop</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Condition</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and</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Soil</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Moisture</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Analytics</w:t>
      </w:r>
      <w:r w:rsidRPr="00DF774B">
        <w:rPr>
          <w:rFonts w:eastAsia="Times New Roman"/>
          <w:bCs/>
          <w:color w:val="000000"/>
          <w:kern w:val="0"/>
          <w:szCs w:val="28"/>
          <w:lang w:val="ru-RU" w:eastAsia="ru-RU"/>
        </w:rPr>
        <w:t xml:space="preserve">), разработанная НАСА и Министерством сельского хозяйства США, предоставляет спутниковые данные </w:t>
      </w:r>
      <w:r w:rsidRPr="004F53DB">
        <w:rPr>
          <w:rFonts w:eastAsia="Times New Roman"/>
          <w:bCs/>
          <w:color w:val="000000"/>
          <w:kern w:val="0"/>
          <w:szCs w:val="28"/>
          <w:vertAlign w:val="superscript"/>
          <w:lang w:val="en-US" w:eastAsia="ru-RU"/>
        </w:rPr>
        <w:footnoteReference w:id="37"/>
      </w:r>
      <w:r w:rsidRPr="00DF774B">
        <w:rPr>
          <w:rFonts w:eastAsia="Times New Roman"/>
          <w:bCs/>
          <w:color w:val="000000"/>
          <w:kern w:val="0"/>
          <w:szCs w:val="28"/>
          <w:lang w:val="ru-RU" w:eastAsia="ru-RU"/>
        </w:rPr>
        <w:t>и информацию о состоянии урожая и влажности почвы для фермеров.</w:t>
      </w:r>
    </w:p>
    <w:p w:rsidR="004F53DB" w:rsidRPr="00DF774B" w:rsidRDefault="00F03A0E" w:rsidP="004F53DB">
      <w:pPr>
        <w:widowControl w:val="0"/>
        <w:spacing w:after="0" w:line="276" w:lineRule="auto"/>
        <w:ind w:firstLine="567"/>
        <w:jc w:val="right"/>
        <w:rPr>
          <w:rFonts w:eastAsia="Times New Roman"/>
          <w:b/>
          <w:kern w:val="0"/>
          <w:szCs w:val="28"/>
          <w:lang w:val="ru-RU" w:eastAsia="ru-RU"/>
        </w:rPr>
      </w:pPr>
      <w:r w:rsidRPr="00DF774B">
        <w:rPr>
          <w:rFonts w:eastAsia="Times New Roman"/>
          <w:b/>
          <w:kern w:val="0"/>
          <w:szCs w:val="28"/>
          <w:lang w:val="ru-RU" w:eastAsia="ru-RU"/>
        </w:rPr>
        <w:t>Таблица 2.7</w:t>
      </w:r>
    </w:p>
    <w:p w:rsidR="004F53DB" w:rsidRPr="00DF774B" w:rsidRDefault="004F53DB" w:rsidP="004F53DB">
      <w:pPr>
        <w:widowControl w:val="0"/>
        <w:spacing w:after="0" w:line="276" w:lineRule="auto"/>
        <w:jc w:val="center"/>
        <w:outlineLvl w:val="1"/>
        <w:rPr>
          <w:rFonts w:eastAsia="Times New Roman"/>
          <w:b/>
          <w:bCs/>
          <w:i/>
          <w:color w:val="4F81BD"/>
          <w:kern w:val="0"/>
          <w:sz w:val="36"/>
          <w:szCs w:val="36"/>
          <w:lang w:val="ru-RU" w:eastAsia="ru-RU"/>
        </w:rPr>
      </w:pPr>
      <w:r w:rsidRPr="00DF774B">
        <w:rPr>
          <w:rFonts w:eastAsia="Times New Roman"/>
          <w:b/>
          <w:kern w:val="0"/>
          <w:szCs w:val="28"/>
          <w:lang w:val="ru-RU" w:eastAsia="ru-RU"/>
        </w:rPr>
        <w:t>Направления повышения эффективности сельского хозяйства с использованием цифровых систем мониторинга</w:t>
      </w:r>
      <w:r w:rsidRPr="004F53DB">
        <w:rPr>
          <w:rFonts w:eastAsia="Times New Roman"/>
          <w:b/>
          <w:bCs/>
          <w:color w:val="4F81BD"/>
          <w:kern w:val="0"/>
          <w:sz w:val="26"/>
          <w:szCs w:val="26"/>
          <w:vertAlign w:val="superscript"/>
          <w:lang w:val="en-US" w:eastAsia="ru-RU"/>
        </w:rPr>
        <w:footnoteReference w:id="38"/>
      </w:r>
    </w:p>
    <w:p w:rsidR="004F53DB" w:rsidRPr="00DF774B" w:rsidRDefault="004F53DB" w:rsidP="004F53DB">
      <w:pPr>
        <w:widowControl w:val="0"/>
        <w:spacing w:after="0"/>
        <w:jc w:val="both"/>
        <w:outlineLvl w:val="1"/>
        <w:rPr>
          <w:rFonts w:eastAsia="Times New Roman"/>
          <w:bCs/>
          <w:color w:val="000000"/>
          <w:kern w:val="0"/>
          <w:szCs w:val="28"/>
          <w:lang w:val="ru-RU" w:eastAsia="ru-RU"/>
        </w:rPr>
      </w:pPr>
    </w:p>
    <w:p w:rsidR="004F53DB" w:rsidRPr="00DF774B" w:rsidRDefault="004F53DB" w:rsidP="004F53DB">
      <w:pPr>
        <w:widowControl w:val="0"/>
        <w:spacing w:after="0" w:line="360" w:lineRule="auto"/>
        <w:jc w:val="both"/>
        <w:outlineLvl w:val="1"/>
        <w:rPr>
          <w:rFonts w:eastAsia="Times New Roman"/>
          <w:bCs/>
          <w:color w:val="000000"/>
          <w:kern w:val="0"/>
          <w:szCs w:val="28"/>
          <w:lang w:val="ru-RU" w:eastAsia="ru-RU"/>
        </w:rPr>
      </w:pPr>
    </w:p>
    <w:p w:rsidR="004F53DB" w:rsidRPr="00DF774B" w:rsidRDefault="004F53DB" w:rsidP="004F53DB">
      <w:pPr>
        <w:widowControl w:val="0"/>
        <w:spacing w:after="0" w:line="360" w:lineRule="auto"/>
        <w:ind w:firstLine="708"/>
        <w:jc w:val="both"/>
        <w:outlineLvl w:val="1"/>
        <w:rPr>
          <w:rFonts w:eastAsia="Times New Roman"/>
          <w:b/>
          <w:bCs/>
          <w:color w:val="000000"/>
          <w:kern w:val="0"/>
          <w:szCs w:val="28"/>
          <w:lang w:val="ru-RU" w:eastAsia="ru-RU"/>
        </w:rPr>
      </w:pPr>
      <w:r w:rsidRPr="004F53DB">
        <w:rPr>
          <w:rFonts w:eastAsia="Times New Roman"/>
          <w:bCs/>
          <w:color w:val="000000"/>
          <w:kern w:val="0"/>
          <w:szCs w:val="28"/>
          <w:lang w:val="en-US" w:eastAsia="ru-RU"/>
        </w:rPr>
        <w:t>John</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Deere</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CNH</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Industrial</w:t>
      </w:r>
      <w:r w:rsidRPr="00DF774B">
        <w:rPr>
          <w:rFonts w:eastAsia="Times New Roman"/>
          <w:bCs/>
          <w:color w:val="000000"/>
          <w:kern w:val="0"/>
          <w:szCs w:val="28"/>
          <w:lang w:val="ru-RU" w:eastAsia="ru-RU"/>
        </w:rPr>
        <w:t xml:space="preserve"> и другие крупные производители сельскохозяйственной техники выпускают «умные» тракторы и комбайны </w:t>
      </w:r>
      <w:r w:rsidRPr="004F53DB">
        <w:rPr>
          <w:rFonts w:eastAsia="Times New Roman"/>
          <w:bCs/>
          <w:color w:val="000000"/>
          <w:kern w:val="0"/>
          <w:szCs w:val="28"/>
          <w:vertAlign w:val="superscript"/>
          <w:lang w:val="en-US" w:eastAsia="ru-RU"/>
        </w:rPr>
        <w:footnoteReference w:id="39"/>
      </w:r>
      <w:r w:rsidRPr="00DF774B">
        <w:rPr>
          <w:rFonts w:eastAsia="Times New Roman"/>
          <w:bCs/>
          <w:color w:val="000000"/>
          <w:kern w:val="0"/>
          <w:szCs w:val="28"/>
          <w:lang w:val="ru-RU" w:eastAsia="ru-RU"/>
        </w:rPr>
        <w:t xml:space="preserve">. Эти машины оснащены </w:t>
      </w:r>
      <w:r w:rsidRPr="004F53DB">
        <w:rPr>
          <w:rFonts w:eastAsia="Times New Roman"/>
          <w:bCs/>
          <w:color w:val="000000"/>
          <w:kern w:val="0"/>
          <w:szCs w:val="28"/>
          <w:lang w:val="en-US" w:eastAsia="ru-RU"/>
        </w:rPr>
        <w:t>GPS</w:t>
      </w:r>
      <w:r w:rsidRPr="00DF774B">
        <w:rPr>
          <w:rFonts w:eastAsia="Times New Roman"/>
          <w:bCs/>
          <w:color w:val="000000"/>
          <w:kern w:val="0"/>
          <w:szCs w:val="28"/>
          <w:lang w:val="ru-RU" w:eastAsia="ru-RU"/>
        </w:rPr>
        <w:t xml:space="preserve">-навигацией, автоматическим управлением, датчиками и системами анализа данных. Платформа </w:t>
      </w:r>
      <w:r w:rsidRPr="004F53DB">
        <w:rPr>
          <w:rFonts w:eastAsia="Times New Roman"/>
          <w:bCs/>
          <w:color w:val="000000"/>
          <w:kern w:val="0"/>
          <w:szCs w:val="28"/>
          <w:lang w:val="en-US" w:eastAsia="ru-RU"/>
        </w:rPr>
        <w:t>John</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Deere</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Operations</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lastRenderedPageBreak/>
        <w:t>Cyenter</w:t>
      </w:r>
      <w:r w:rsidRPr="00DF774B">
        <w:rPr>
          <w:rFonts w:eastAsia="Times New Roman"/>
          <w:bCs/>
          <w:color w:val="000000"/>
          <w:kern w:val="0"/>
          <w:szCs w:val="28"/>
          <w:lang w:val="ru-RU" w:eastAsia="ru-RU"/>
        </w:rPr>
        <w:t xml:space="preserve"> позволяет управлять парком сельскохозяйственной техники, контролировать производственные процессы и готовить отчеты. Треть американских фермеров используют искусственный интеллект и анализ больших данных для поддержки процессов принятия решений. Платформа </w:t>
      </w:r>
      <w:r w:rsidRPr="004F53DB">
        <w:rPr>
          <w:rFonts w:eastAsia="Times New Roman"/>
          <w:bCs/>
          <w:color w:val="000000"/>
          <w:kern w:val="0"/>
          <w:szCs w:val="28"/>
          <w:lang w:val="en-US" w:eastAsia="ru-RU"/>
        </w:rPr>
        <w:t>Farmers</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Business</w:t>
      </w:r>
      <w:r w:rsidRPr="00DF774B">
        <w:rPr>
          <w:rFonts w:eastAsia="Times New Roman"/>
          <w:bCs/>
          <w:color w:val="000000"/>
          <w:kern w:val="0"/>
          <w:szCs w:val="28"/>
          <w:lang w:val="ru-RU" w:eastAsia="ru-RU"/>
        </w:rPr>
        <w:t xml:space="preserve"> </w:t>
      </w:r>
      <w:r w:rsidRPr="004F53DB">
        <w:rPr>
          <w:rFonts w:eastAsia="Times New Roman"/>
          <w:bCs/>
          <w:color w:val="000000"/>
          <w:kern w:val="0"/>
          <w:szCs w:val="28"/>
          <w:lang w:val="en-US" w:eastAsia="ru-RU"/>
        </w:rPr>
        <w:t>Network</w:t>
      </w:r>
      <w:r w:rsidRPr="00DF774B">
        <w:rPr>
          <w:rFonts w:eastAsia="Times New Roman"/>
          <w:bCs/>
          <w:color w:val="000000"/>
          <w:kern w:val="0"/>
          <w:szCs w:val="28"/>
          <w:lang w:val="ru-RU" w:eastAsia="ru-RU"/>
        </w:rPr>
        <w:t xml:space="preserve"> анализирует данные, собранные с более чем 43 миллионов гектаров земли, и предоставляет ценные рекомендации для фермеров </w:t>
      </w:r>
      <w:r w:rsidRPr="004F53DB">
        <w:rPr>
          <w:rFonts w:eastAsia="Times New Roman"/>
          <w:bCs/>
          <w:color w:val="000000"/>
          <w:kern w:val="0"/>
          <w:szCs w:val="28"/>
          <w:vertAlign w:val="superscript"/>
          <w:lang w:val="en-US" w:eastAsia="ru-RU"/>
        </w:rPr>
        <w:footnoteReference w:id="40"/>
      </w:r>
      <w:r w:rsidRPr="00DF774B">
        <w:rPr>
          <w:rFonts w:eastAsia="Times New Roman"/>
          <w:bCs/>
          <w:color w:val="000000"/>
          <w:kern w:val="0"/>
          <w:szCs w:val="28"/>
          <w:lang w:val="ru-RU" w:eastAsia="ru-RU"/>
        </w:rPr>
        <w:t>. Опыт США показывает, что внедрение цифровых систем мониторинга может повысить годовую эффективность в среднем на 15-20%, сэкономить воду и удобрения на 20-30% и снизить затраты на рабочую силу на 30%.</w:t>
      </w:r>
    </w:p>
    <w:p w:rsidR="004F53DB" w:rsidRPr="00DF774B" w:rsidRDefault="004F53DB" w:rsidP="004F53DB">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В Европейском Союзе такие программы, как «Умное земледелие» и «Точное земледелие», направлены на цифровизацию и повышение эффективности сельскохозяйственного производства </w:t>
      </w:r>
      <w:r w:rsidRPr="004F53DB">
        <w:rPr>
          <w:rFonts w:eastAsia="Times New Roman"/>
          <w:kern w:val="0"/>
          <w:szCs w:val="28"/>
          <w:vertAlign w:val="superscript"/>
          <w:lang w:val="en-US" w:eastAsia="ru-RU"/>
        </w:rPr>
        <w:footnoteReference w:id="41"/>
      </w:r>
      <w:r w:rsidRPr="00DF774B">
        <w:rPr>
          <w:rFonts w:eastAsia="Times New Roman"/>
          <w:kern w:val="0"/>
          <w:szCs w:val="28"/>
          <w:lang w:val="ru-RU" w:eastAsia="ru-RU"/>
        </w:rPr>
        <w:t xml:space="preserve">. В рамках своей Общей сельскохозяйственной политики Европейский Союз реализует ряд программ по цифровизации сельского хозяйства и внедрению эффективных систем мониторинга. В рамках программы «Коперник» данные о пахотных землях и их состоянии собираются и анализируются с помощью спутников </w:t>
      </w:r>
      <w:r w:rsidRPr="004F53DB">
        <w:rPr>
          <w:rFonts w:eastAsia="Times New Roman"/>
          <w:kern w:val="0"/>
          <w:szCs w:val="28"/>
          <w:vertAlign w:val="superscript"/>
          <w:lang w:val="en-US" w:eastAsia="ru-RU"/>
        </w:rPr>
        <w:footnoteReference w:id="42"/>
      </w:r>
      <w:r w:rsidRPr="00DF774B">
        <w:rPr>
          <w:rFonts w:eastAsia="Times New Roman"/>
          <w:kern w:val="0"/>
          <w:szCs w:val="28"/>
          <w:lang w:val="ru-RU" w:eastAsia="ru-RU"/>
        </w:rPr>
        <w:t xml:space="preserve">. Проект </w:t>
      </w:r>
      <w:r w:rsidRPr="004F53DB">
        <w:rPr>
          <w:rFonts w:eastAsia="Times New Roman"/>
          <w:kern w:val="0"/>
          <w:szCs w:val="28"/>
          <w:lang w:val="en-US" w:eastAsia="ru-RU"/>
        </w:rPr>
        <w:t>IoF</w:t>
      </w:r>
      <w:r w:rsidRPr="00DF774B">
        <w:rPr>
          <w:rFonts w:eastAsia="Times New Roman"/>
          <w:kern w:val="0"/>
          <w:szCs w:val="28"/>
          <w:lang w:val="ru-RU" w:eastAsia="ru-RU"/>
        </w:rPr>
        <w:t xml:space="preserve">2020 (Интернет продовольствия и фермерского хозяйства 2020) направлен на внедрение технологий Интернета вещей в сельское хозяйство в 19 европейских странах </w:t>
      </w:r>
      <w:r w:rsidRPr="004F53DB">
        <w:rPr>
          <w:rFonts w:eastAsia="Times New Roman"/>
          <w:kern w:val="0"/>
          <w:szCs w:val="28"/>
          <w:vertAlign w:val="superscript"/>
          <w:lang w:val="en-US" w:eastAsia="ru-RU"/>
        </w:rPr>
        <w:footnoteReference w:id="43"/>
      </w:r>
      <w:r w:rsidRPr="00DF774B">
        <w:rPr>
          <w:rFonts w:eastAsia="Times New Roman"/>
          <w:kern w:val="0"/>
          <w:szCs w:val="28"/>
          <w:lang w:val="ru-RU" w:eastAsia="ru-RU"/>
        </w:rPr>
        <w:t xml:space="preserve">. В рамках проекта реализовано 33 пилотных проекта, направленных на внедрение инновационных решений в растениеводстве, животноводстве, выращивании фруктов и овощей и других секторах. Система </w:t>
      </w:r>
      <w:r w:rsidRPr="004F53DB">
        <w:rPr>
          <w:rFonts w:eastAsia="Times New Roman"/>
          <w:kern w:val="0"/>
          <w:szCs w:val="28"/>
          <w:lang w:val="en-US" w:eastAsia="ru-RU"/>
        </w:rPr>
        <w:t>IACS</w:t>
      </w:r>
      <w:r w:rsidRPr="00DF774B">
        <w:rPr>
          <w:rFonts w:eastAsia="Times New Roman"/>
          <w:kern w:val="0"/>
          <w:szCs w:val="28"/>
          <w:lang w:val="ru-RU" w:eastAsia="ru-RU"/>
        </w:rPr>
        <w:t xml:space="preserve"> (Интегрированная система управления и контроля) используется для регистрации, мониторинга и управления фермерскими хозяйствами. Эта система собирает и анализирует данные об использовании </w:t>
      </w:r>
      <w:r w:rsidRPr="00DF774B">
        <w:rPr>
          <w:rFonts w:eastAsia="Times New Roman"/>
          <w:kern w:val="0"/>
          <w:szCs w:val="28"/>
          <w:lang w:val="ru-RU" w:eastAsia="ru-RU"/>
        </w:rPr>
        <w:lastRenderedPageBreak/>
        <w:t xml:space="preserve">сельскохозяйственных земель, состоянии урожая и других параметрах. Более 70% европейских фермеров принимают решения с помощью цифровых технологий. Рынок технологий точного земледелия в Европе растет на 15-20% в год и, как ожидается, достигнет 10 миллиардов евро к 2025 году. </w:t>
      </w:r>
      <w:r w:rsidRPr="004F53DB">
        <w:rPr>
          <w:rFonts w:eastAsia="Times New Roman"/>
          <w:kern w:val="0"/>
          <w:szCs w:val="28"/>
          <w:vertAlign w:val="superscript"/>
          <w:lang w:val="en-US" w:eastAsia="ru-RU"/>
        </w:rPr>
        <w:footnoteReference w:id="44"/>
      </w:r>
      <w:r w:rsidRPr="00DF774B">
        <w:rPr>
          <w:rFonts w:eastAsia="Times New Roman"/>
          <w:kern w:val="0"/>
          <w:szCs w:val="28"/>
          <w:lang w:val="ru-RU" w:eastAsia="ru-RU"/>
        </w:rPr>
        <w:t>Опыт Европейского союза показывает, что внедрение цифровых систем мониторинга позволяет сократить использование пестицидов и удобрений до 20%, увеличить урожайность на 10-15% и повысить эффективность рабочих процессов на 20%.</w:t>
      </w:r>
    </w:p>
    <w:p w:rsidR="004F53DB" w:rsidRPr="00DF774B" w:rsidRDefault="004F53DB" w:rsidP="004F53DB">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 xml:space="preserve">Каждое государство-член ЕС имеет свои собственные национальные программы финансирования сельского хозяйства. Во Франции национальный инвестиционный банк </w:t>
      </w:r>
      <w:r w:rsidRPr="004F53DB">
        <w:rPr>
          <w:rFonts w:eastAsia="Times New Roman"/>
          <w:kern w:val="0"/>
          <w:szCs w:val="28"/>
          <w:lang w:val="en-US" w:eastAsia="ru-RU"/>
        </w:rPr>
        <w:t>Bpifrance</w:t>
      </w:r>
      <w:r w:rsidRPr="00DF774B">
        <w:rPr>
          <w:rFonts w:eastAsia="Times New Roman"/>
          <w:kern w:val="0"/>
          <w:szCs w:val="28"/>
          <w:lang w:val="ru-RU" w:eastAsia="ru-RU"/>
        </w:rPr>
        <w:t xml:space="preserve"> «финансирует сельскохозяйственные инновации </w:t>
      </w:r>
      <w:r w:rsidRPr="004F53DB">
        <w:rPr>
          <w:rFonts w:eastAsia="Times New Roman"/>
          <w:kern w:val="0"/>
          <w:szCs w:val="28"/>
          <w:vertAlign w:val="superscript"/>
          <w:lang w:val="en-US" w:eastAsia="ru-RU"/>
        </w:rPr>
        <w:footnoteReference w:id="45"/>
      </w:r>
      <w:r w:rsidRPr="00DF774B">
        <w:rPr>
          <w:rFonts w:eastAsia="Times New Roman"/>
          <w:kern w:val="0"/>
          <w:szCs w:val="28"/>
          <w:lang w:val="ru-RU" w:eastAsia="ru-RU"/>
        </w:rPr>
        <w:t xml:space="preserve">». Такие организации, как </w:t>
      </w:r>
      <w:r w:rsidRPr="004F53DB">
        <w:rPr>
          <w:rFonts w:eastAsia="Times New Roman"/>
          <w:kern w:val="0"/>
          <w:szCs w:val="28"/>
          <w:lang w:val="en-US" w:eastAsia="ru-RU"/>
        </w:rPr>
        <w:t>Initiative</w:t>
      </w:r>
      <w:r w:rsidRPr="00DF774B">
        <w:rPr>
          <w:rFonts w:eastAsia="Times New Roman"/>
          <w:kern w:val="0"/>
          <w:szCs w:val="28"/>
          <w:lang w:val="ru-RU" w:eastAsia="ru-RU"/>
        </w:rPr>
        <w:t xml:space="preserve"> </w:t>
      </w:r>
      <w:r w:rsidRPr="004F53DB">
        <w:rPr>
          <w:rFonts w:eastAsia="Times New Roman"/>
          <w:kern w:val="0"/>
          <w:szCs w:val="28"/>
          <w:lang w:val="en-US" w:eastAsia="ru-RU"/>
        </w:rPr>
        <w:t>Francie</w:t>
      </w:r>
      <w:r w:rsidRPr="00DF774B">
        <w:rPr>
          <w:rFonts w:eastAsia="Times New Roman"/>
          <w:kern w:val="0"/>
          <w:szCs w:val="28"/>
          <w:lang w:val="ru-RU" w:eastAsia="ru-RU"/>
        </w:rPr>
        <w:t xml:space="preserve">, «предоставляют микрокредиты и техническую помощь мелким фермерам » </w:t>
      </w:r>
      <w:r w:rsidRPr="004F53DB">
        <w:rPr>
          <w:rFonts w:eastAsia="Times New Roman"/>
          <w:kern w:val="0"/>
          <w:szCs w:val="28"/>
          <w:vertAlign w:val="superscript"/>
          <w:lang w:val="en-US" w:eastAsia="ru-RU"/>
        </w:rPr>
        <w:footnoteReference w:id="46"/>
      </w:r>
      <w:r w:rsidRPr="00DF774B">
        <w:rPr>
          <w:rFonts w:eastAsia="Times New Roman"/>
          <w:kern w:val="0"/>
          <w:szCs w:val="28"/>
          <w:lang w:val="ru-RU" w:eastAsia="ru-RU"/>
        </w:rPr>
        <w:t>.</w:t>
      </w:r>
    </w:p>
    <w:p w:rsidR="004F53DB" w:rsidRPr="00DF774B" w:rsidRDefault="004F53DB" w:rsidP="004F53DB">
      <w:pPr>
        <w:widowControl w:val="0"/>
        <w:spacing w:after="0" w:line="360" w:lineRule="auto"/>
        <w:jc w:val="both"/>
        <w:rPr>
          <w:rFonts w:eastAsia="Times New Roman"/>
          <w:kern w:val="0"/>
          <w:szCs w:val="28"/>
          <w:lang w:val="ru-RU" w:eastAsia="ru-RU"/>
        </w:rPr>
      </w:pPr>
    </w:p>
    <w:p w:rsidR="004F53DB" w:rsidRPr="00DF774B" w:rsidRDefault="004F53DB" w:rsidP="004F53DB">
      <w:pPr>
        <w:widowControl w:val="0"/>
        <w:spacing w:after="0" w:line="360" w:lineRule="auto"/>
        <w:ind w:firstLine="709"/>
        <w:jc w:val="both"/>
        <w:rPr>
          <w:rFonts w:eastAsia="Times New Roman"/>
          <w:kern w:val="0"/>
          <w:szCs w:val="28"/>
          <w:lang w:val="ru-RU" w:eastAsia="ru-RU"/>
        </w:rPr>
      </w:pPr>
      <w:r w:rsidRPr="00DF774B">
        <w:rPr>
          <w:rFonts w:eastAsia="Times New Roman"/>
          <w:kern w:val="0"/>
          <w:szCs w:val="28"/>
          <w:lang w:val="ru-RU" w:eastAsia="ru-RU"/>
        </w:rPr>
        <w:t>Общая сельскохозяйственная политика (</w:t>
      </w:r>
      <w:r w:rsidRPr="004F53DB">
        <w:rPr>
          <w:rFonts w:eastAsia="Times New Roman"/>
          <w:kern w:val="0"/>
          <w:szCs w:val="28"/>
          <w:lang w:val="en-US" w:eastAsia="ru-RU"/>
        </w:rPr>
        <w:t>CAP</w:t>
      </w:r>
      <w:r w:rsidRPr="00DF774B">
        <w:rPr>
          <w:rFonts w:eastAsia="Times New Roman"/>
          <w:kern w:val="0"/>
          <w:szCs w:val="28"/>
          <w:lang w:val="ru-RU" w:eastAsia="ru-RU"/>
        </w:rPr>
        <w:t>) показывает динамику капитальных расходов как доли бюджета ЕС за разные годы. За последние 40 лет эта доля снизилась с 73,2% в 1980 году до примерно 24,6% в 2023 году. Это снижение продолжалось и после последовательных расширений ЕС.</w:t>
      </w:r>
    </w:p>
    <w:p w:rsidR="004F53DB" w:rsidRPr="00DF774B" w:rsidRDefault="006C24C3" w:rsidP="004F53DB">
      <w:pPr>
        <w:widowControl w:val="0"/>
        <w:spacing w:after="100" w:line="360" w:lineRule="auto"/>
        <w:ind w:firstLine="709"/>
        <w:jc w:val="both"/>
        <w:rPr>
          <w:rFonts w:eastAsia="Times New Roman"/>
          <w:kern w:val="0"/>
          <w:szCs w:val="28"/>
          <w:lang w:val="ru-RU" w:eastAsia="ru-RU"/>
        </w:rPr>
      </w:pPr>
      <w:r w:rsidRPr="00DF774B">
        <w:rPr>
          <w:rFonts w:eastAsia="Times New Roman"/>
          <w:kern w:val="0"/>
          <w:szCs w:val="28"/>
          <w:lang w:val="ru-RU" w:eastAsia="ru-RU"/>
        </w:rPr>
        <w:t>Тенденция к снижению доли расходов ЕС в рамках Единой сельскохозяйственной политики (</w:t>
      </w:r>
      <w:r>
        <w:rPr>
          <w:rFonts w:eastAsia="Times New Roman"/>
          <w:kern w:val="0"/>
          <w:szCs w:val="28"/>
          <w:lang w:val="en-US" w:eastAsia="ru-RU"/>
        </w:rPr>
        <w:t>CAP</w:t>
      </w:r>
      <w:r w:rsidRPr="00DF774B">
        <w:rPr>
          <w:rFonts w:eastAsia="Times New Roman"/>
          <w:kern w:val="0"/>
          <w:szCs w:val="28"/>
          <w:lang w:val="ru-RU" w:eastAsia="ru-RU"/>
        </w:rPr>
        <w:t xml:space="preserve">) в основном обусловлена </w:t>
      </w:r>
      <w:hyperlink r:id="rId19" w:anchor="timeline" w:history="1">
        <w:r w:rsidR="004F53DB" w:rsidRPr="00DF774B">
          <w:rPr>
            <w:rFonts w:eastAsia="Times New Roman"/>
            <w:color w:val="0000FF"/>
            <w:kern w:val="0"/>
            <w:szCs w:val="28"/>
            <w:u w:val="single"/>
            <w:lang w:val="ru-RU" w:eastAsia="ru-RU"/>
          </w:rPr>
          <w:t xml:space="preserve">реформами </w:t>
        </w:r>
        <w:r w:rsidR="004F53DB" w:rsidRPr="004F53DB">
          <w:rPr>
            <w:rFonts w:eastAsia="Times New Roman"/>
            <w:color w:val="0000FF"/>
            <w:kern w:val="0"/>
            <w:szCs w:val="28"/>
            <w:u w:val="single"/>
            <w:lang w:val="en-US" w:eastAsia="ru-RU"/>
          </w:rPr>
          <w:t>CAP</w:t>
        </w:r>
        <w:r w:rsidR="004F53DB" w:rsidRPr="00DF774B">
          <w:rPr>
            <w:rFonts w:eastAsia="Times New Roman"/>
            <w:color w:val="0000FF"/>
            <w:kern w:val="0"/>
            <w:szCs w:val="28"/>
            <w:u w:val="single"/>
            <w:lang w:val="ru-RU" w:eastAsia="ru-RU"/>
          </w:rPr>
          <w:t xml:space="preserve"> </w:t>
        </w:r>
      </w:hyperlink>
      <w:r w:rsidR="004F53DB" w:rsidRPr="00DF774B">
        <w:rPr>
          <w:rFonts w:eastAsia="Times New Roman"/>
          <w:kern w:val="0"/>
          <w:szCs w:val="28"/>
          <w:lang w:val="ru-RU" w:eastAsia="ru-RU"/>
        </w:rPr>
        <w:t xml:space="preserve">и увеличением доли других направлений политики ЕС в расходах ЕС. Резкое снижение, начиная с 2021 года, связано с дополнительными общими расходами на </w:t>
      </w:r>
      <w:hyperlink r:id="rId20" w:history="1">
        <w:r w:rsidR="004F53DB" w:rsidRPr="00DF774B">
          <w:rPr>
            <w:rFonts w:eastAsia="Times New Roman"/>
            <w:color w:val="0000FF"/>
            <w:kern w:val="0"/>
            <w:szCs w:val="28"/>
            <w:u w:val="single"/>
            <w:lang w:val="ru-RU" w:eastAsia="ru-RU"/>
          </w:rPr>
          <w:t>следующее поколение фондов ЕС .</w:t>
        </w:r>
      </w:hyperlink>
    </w:p>
    <w:p w:rsidR="004F53DB" w:rsidRPr="00DF774B" w:rsidRDefault="004F53DB" w:rsidP="004F53DB">
      <w:pPr>
        <w:widowControl w:val="0"/>
        <w:spacing w:after="0" w:line="360" w:lineRule="auto"/>
        <w:ind w:firstLine="709"/>
        <w:jc w:val="both"/>
        <w:rPr>
          <w:rFonts w:eastAsia="Times New Roman"/>
          <w:noProof/>
          <w:kern w:val="0"/>
          <w:szCs w:val="28"/>
          <w:lang w:val="ru-RU" w:eastAsia="ru-RU"/>
        </w:rPr>
      </w:pPr>
      <w:r w:rsidRPr="00DF774B">
        <w:rPr>
          <w:rFonts w:eastAsia="Times New Roman"/>
          <w:kern w:val="0"/>
          <w:szCs w:val="28"/>
          <w:lang w:val="ru-RU" w:eastAsia="ru-RU"/>
        </w:rPr>
        <w:t>На этом графике показана динамика расходов в рамках Единой сельскохозяйственной политики (</w:t>
      </w:r>
      <w:r w:rsidRPr="004F53DB">
        <w:rPr>
          <w:rFonts w:eastAsia="Times New Roman"/>
          <w:kern w:val="0"/>
          <w:szCs w:val="28"/>
          <w:lang w:val="en-US" w:eastAsia="ru-RU"/>
        </w:rPr>
        <w:t>CAP</w:t>
      </w:r>
      <w:r w:rsidRPr="00DF774B">
        <w:rPr>
          <w:rFonts w:eastAsia="Times New Roman"/>
          <w:kern w:val="0"/>
          <w:szCs w:val="28"/>
          <w:lang w:val="ru-RU" w:eastAsia="ru-RU"/>
        </w:rPr>
        <w:t xml:space="preserve">) с 1980 года. По состоянию на 2015 год прямые выплаты включают как обязательные, так и добровольные схемы, в зависимости от выбора стран ЕС. Заштрихованные области на графике </w:t>
      </w:r>
      <w:r w:rsidRPr="00DF774B">
        <w:rPr>
          <w:rFonts w:eastAsia="Times New Roman"/>
          <w:kern w:val="0"/>
          <w:szCs w:val="28"/>
          <w:lang w:val="ru-RU" w:eastAsia="ru-RU"/>
        </w:rPr>
        <w:lastRenderedPageBreak/>
        <w:t>указывают на акцент на экологической устойчивости. Они представляют собой выплаты за «зеленые» меры (2015-2023 гг.) и эко-схемы (2024 г.), а также долю средств, выделяемых из бюджета развития сельских районов на мероприятия, связанные с охраной окружающей среды и изменением климата. Другие расходы на поддержку рынка в последние несколько лет в основном включали национальные программы виноделия, организации производителей фруктов и овощей, школьную программу по фруктам, овощам и молоку, стимулирование сельскохозяйственной продукции и пчеловодство.</w:t>
      </w:r>
      <w:r w:rsidRPr="00DF774B">
        <w:rPr>
          <w:rFonts w:eastAsia="Times New Roman"/>
          <w:noProof/>
          <w:kern w:val="0"/>
          <w:szCs w:val="28"/>
          <w:lang w:val="ru-RU" w:eastAsia="ru-RU"/>
        </w:rPr>
        <w:t xml:space="preserve"> </w:t>
      </w:r>
    </w:p>
    <w:p w:rsidR="004F53DB" w:rsidRPr="00DF774B" w:rsidRDefault="004F53DB" w:rsidP="004F53DB">
      <w:pPr>
        <w:widowControl w:val="0"/>
        <w:spacing w:after="0" w:line="360" w:lineRule="auto"/>
        <w:ind w:firstLine="720"/>
        <w:jc w:val="both"/>
        <w:rPr>
          <w:rFonts w:eastAsia="Times New Roman"/>
          <w:kern w:val="0"/>
          <w:szCs w:val="28"/>
          <w:lang w:val="ru-RU" w:eastAsia="ru-RU"/>
        </w:rPr>
      </w:pPr>
      <w:r w:rsidRPr="00DF774B">
        <w:rPr>
          <w:rFonts w:eastAsia="Times New Roman"/>
          <w:kern w:val="0"/>
          <w:szCs w:val="28"/>
          <w:lang w:val="ru-RU" w:eastAsia="ru-RU"/>
        </w:rPr>
        <w:t>Многие производители в ЕС сильно зависят от государственной поддержки (например, прямых выплат, фондов развития сельских районов). Средняя доля прямых выплат в доходах от сельскохозяйственных факторов в ЕС в 2018-2022 годах составляла 23%. Однако это скрывало значительные различия между странами ЕС: 20% или менее в Кипре, Италии, Мальте, Нидерландах и Испании и более 40% в Эстонии, Латвии, Литве и Словакии. С учетом всех субсидий общая поддержка доходов от сельского хозяйства со стороны ЕС составила 33% от среднего дохода от сельского хозяйства в ЕС.</w:t>
      </w:r>
    </w:p>
    <w:p w:rsidR="00107C58" w:rsidRPr="00DF774B" w:rsidRDefault="00107C58" w:rsidP="00107C58">
      <w:pPr>
        <w:spacing w:after="0" w:line="360" w:lineRule="auto"/>
        <w:ind w:firstLine="567"/>
        <w:jc w:val="both"/>
        <w:rPr>
          <w:b/>
          <w:bCs/>
          <w:kern w:val="0"/>
          <w:szCs w:val="28"/>
          <w:lang w:val="ru-RU"/>
        </w:rPr>
      </w:pPr>
    </w:p>
    <w:p w:rsidR="00E77DBD" w:rsidRDefault="00E77DBD" w:rsidP="00AD6F88">
      <w:pPr>
        <w:spacing w:after="0" w:line="360" w:lineRule="auto"/>
        <w:ind w:firstLine="709"/>
        <w:jc w:val="both"/>
        <w:rPr>
          <w:rFonts w:eastAsia="Times New Roman"/>
          <w:color w:val="000000"/>
          <w:kern w:val="0"/>
          <w:szCs w:val="28"/>
          <w:lang w:val="uz-Cyrl-UZ" w:eastAsia="ru-RU"/>
        </w:rPr>
      </w:pPr>
    </w:p>
    <w:p w:rsidR="00E77DBD" w:rsidRDefault="00E77DBD" w:rsidP="00AD6F88">
      <w:pPr>
        <w:spacing w:after="0" w:line="360" w:lineRule="auto"/>
        <w:ind w:firstLine="709"/>
        <w:jc w:val="both"/>
        <w:rPr>
          <w:rFonts w:eastAsia="Times New Roman"/>
          <w:color w:val="000000"/>
          <w:kern w:val="0"/>
          <w:szCs w:val="28"/>
          <w:lang w:val="uz-Cyrl-UZ" w:eastAsia="ru-RU"/>
        </w:rPr>
      </w:pPr>
    </w:p>
    <w:p w:rsidR="00E77DBD" w:rsidRDefault="00E77DBD" w:rsidP="00AD6F88">
      <w:pPr>
        <w:spacing w:after="0" w:line="360" w:lineRule="auto"/>
        <w:ind w:firstLine="709"/>
        <w:jc w:val="both"/>
        <w:rPr>
          <w:rFonts w:eastAsia="Times New Roman"/>
          <w:color w:val="000000"/>
          <w:kern w:val="0"/>
          <w:szCs w:val="28"/>
          <w:lang w:val="uz-Cyrl-UZ" w:eastAsia="ru-RU"/>
        </w:rPr>
      </w:pPr>
    </w:p>
    <w:p w:rsidR="00AC6CEE" w:rsidRPr="00AC6CEE" w:rsidRDefault="00AC6CEE" w:rsidP="00AC6CEE">
      <w:pPr>
        <w:spacing w:after="0" w:line="360" w:lineRule="auto"/>
        <w:ind w:firstLine="720"/>
        <w:jc w:val="both"/>
        <w:rPr>
          <w:bCs/>
          <w:color w:val="000000"/>
          <w:kern w:val="0"/>
          <w:szCs w:val="28"/>
          <w:shd w:val="clear" w:color="auto" w:fill="FFFFFF"/>
          <w:lang w:val="uz-Cyrl-UZ"/>
        </w:rPr>
      </w:pPr>
      <w:r w:rsidRPr="00AC6CEE">
        <w:rPr>
          <w:bCs/>
          <w:color w:val="000000"/>
          <w:kern w:val="0"/>
          <w:szCs w:val="28"/>
          <w:shd w:val="clear" w:color="auto" w:fill="FFFFFF"/>
          <w:lang w:val="uz-Cyrl-UZ"/>
        </w:rPr>
        <w:t xml:space="preserve">Динамика объема иностранных инвестиций и кредитов, поглощенных основным капиталом за последние пять лет, показывает, что он увеличился почти в 3,2 раза и имеет тенденцию к росту. В частности, «в 2023 году в основной капитал было поглощено 187,9 трлн сумов (16,0 млрд долларов США в долларовом эквиваленте), что на 152,8% больше, чем в 2022 году. Доля иностранных инвестиций и кредитов в общем объеме инвестиций, поглощенных основным капиталом, составила 53,4% </w:t>
      </w:r>
      <w:r w:rsidRPr="00AC6CEE">
        <w:rPr>
          <w:bCs/>
          <w:color w:val="000000"/>
          <w:kern w:val="0"/>
          <w:szCs w:val="28"/>
          <w:shd w:val="clear" w:color="auto" w:fill="FFFFFF"/>
          <w:vertAlign w:val="superscript"/>
        </w:rPr>
        <w:footnoteReference w:id="47"/>
      </w:r>
      <w:r w:rsidRPr="00AC6CEE">
        <w:rPr>
          <w:bCs/>
          <w:color w:val="000000"/>
          <w:kern w:val="0"/>
          <w:szCs w:val="28"/>
          <w:shd w:val="clear" w:color="auto" w:fill="FFFFFF"/>
          <w:lang w:val="uz-Cyrl-UZ"/>
        </w:rPr>
        <w:t>». При этом объем ВВП Узбекистана в 2023 году составил 1066,5 трлн сумов, что на 6%,0% больше, чем в 2022 году, и в 2 раза больше, чем в 2019 году (см. рисунок).</w:t>
      </w:r>
    </w:p>
    <w:p w:rsidR="00AC6CEE" w:rsidRPr="00AC6CEE" w:rsidRDefault="00AC6CEE" w:rsidP="00AC6CEE">
      <w:pPr>
        <w:spacing w:after="0" w:line="360" w:lineRule="auto"/>
        <w:ind w:firstLine="720"/>
        <w:jc w:val="both"/>
        <w:rPr>
          <w:bCs/>
          <w:color w:val="000000"/>
          <w:kern w:val="0"/>
          <w:szCs w:val="28"/>
          <w:shd w:val="clear" w:color="auto" w:fill="FFFFFF"/>
          <w:lang w:val="uz-Cyrl-UZ"/>
        </w:rPr>
      </w:pPr>
      <w:r w:rsidRPr="00AC6CEE">
        <w:rPr>
          <w:bCs/>
          <w:color w:val="000000"/>
          <w:kern w:val="0"/>
          <w:szCs w:val="28"/>
          <w:shd w:val="clear" w:color="auto" w:fill="FFFFFF"/>
          <w:lang w:val="uz-Cyrl-UZ"/>
        </w:rPr>
        <w:lastRenderedPageBreak/>
        <w:t>Однако роль иностранных инвестиций и займов, поглощенных основным капиталом в нашей стране, в развитии сельскохозяйственного сектора незначительна. В 2023 году прямые иностранные инвестиции в структуре прямых иностранных инвестиций и займов составили 84,3 трлн сумов, или 50,6% от общей суммы, а прочие инвестиции и необеспеченные иностранные займы — 82,4 трлн сумов, или 49,4% от общей суммы.</w:t>
      </w:r>
    </w:p>
    <w:p w:rsidR="00AC6CEE" w:rsidRPr="00AC6CEE" w:rsidRDefault="00AC6CEE" w:rsidP="00AC6CEE">
      <w:pPr>
        <w:spacing w:after="0" w:line="360" w:lineRule="auto"/>
        <w:ind w:firstLine="720"/>
        <w:jc w:val="both"/>
        <w:rPr>
          <w:bCs/>
          <w:color w:val="000000"/>
          <w:kern w:val="0"/>
          <w:szCs w:val="28"/>
          <w:shd w:val="clear" w:color="auto" w:fill="FFFFFF"/>
          <w:lang w:val="uz-Cyrl-UZ"/>
        </w:rPr>
      </w:pPr>
      <w:r w:rsidRPr="00AC6CEE">
        <w:rPr>
          <w:bCs/>
          <w:color w:val="000000"/>
          <w:kern w:val="0"/>
          <w:szCs w:val="28"/>
          <w:shd w:val="clear" w:color="auto" w:fill="FFFFFF"/>
          <w:lang w:val="uz-Cyrl-UZ"/>
        </w:rPr>
        <w:t>Узбекистан значительно отстает от других стран по объему прямых иностранных инвестиций в сельскохозяйственный сектор. Например, в Индонезии, которая практически является мировым лидером по привлечению иностранных инвестиций в сельское хозяйство, доля сельского хозяйства в общем объеме прямых иностранных инвестиций в 2019 году составила 7,7 процента, тогда как в Узбекистане этот показатель составил 0,05 процента (-рисунок).</w:t>
      </w:r>
    </w:p>
    <w:p w:rsidR="00AC6CEE" w:rsidRPr="00AC6CEE" w:rsidRDefault="00AC6CEE" w:rsidP="00AC6CEE">
      <w:pPr>
        <w:spacing w:after="0"/>
        <w:ind w:firstLine="709"/>
        <w:jc w:val="both"/>
        <w:rPr>
          <w:bCs/>
          <w:color w:val="000000"/>
          <w:kern w:val="0"/>
          <w:szCs w:val="28"/>
          <w:shd w:val="clear" w:color="auto" w:fill="FFFFFF"/>
          <w:lang w:val="uz-Cyrl-UZ"/>
        </w:rPr>
      </w:pPr>
    </w:p>
    <w:p w:rsidR="00AD341E" w:rsidRPr="00AD341E" w:rsidRDefault="00AD341E" w:rsidP="00AD341E">
      <w:pPr>
        <w:spacing w:after="0" w:line="360" w:lineRule="auto"/>
        <w:ind w:firstLine="720"/>
        <w:jc w:val="both"/>
        <w:rPr>
          <w:bCs/>
          <w:color w:val="000000"/>
          <w:kern w:val="0"/>
          <w:szCs w:val="28"/>
          <w:shd w:val="clear" w:color="auto" w:fill="FFFFFF"/>
          <w:lang w:val="uz-Cyrl-UZ"/>
        </w:rPr>
      </w:pPr>
      <w:r w:rsidRPr="00AD341E">
        <w:rPr>
          <w:bCs/>
          <w:color w:val="000000"/>
          <w:kern w:val="0"/>
          <w:szCs w:val="28"/>
          <w:shd w:val="clear" w:color="auto" w:fill="FFFFFF"/>
          <w:lang w:val="uz-Cyrl-UZ"/>
        </w:rPr>
        <w:t xml:space="preserve">Аналогичным образом, Норвегия, Новая Зеландия и Бразилия рассматриваются как страны сельскохозяйственного сотрудничества для привлечения иностранных инвесторов в Узбекистан и Чешскую Республику. С точки зрения бизнеса, сельскохозяйственные кооперативы, развивающие инвестиции в сельское хозяйство, являются важными факторами развития экономической деятельности, такими как охрана окружающей среды, защита окружающей среды и экономическое развитие. Они не могут владеть собственной землей и должны полагаться на местных партнеров, обладающих всеми другими юрисдикциями. Кроме того, существуют трудности в роли импортно-экспортного финансирования в развитии экономики, экономического порядка, товаров, проблемы в развитии инфраструктуры, коррупция и бедность. По мнению агентства, сельскохозяйственному сектору Узбекистана необходимо укреплять сельскохозяйственные технологии и инновации в устойчивом производстве оливкового масла. Эта ситуация актуальна для развития сельскохозяйственного сотрудничества, то есть некоммерческих инвесторов, занимающихся экономическим развитием и </w:t>
      </w:r>
      <w:r w:rsidRPr="00AD341E">
        <w:rPr>
          <w:bCs/>
          <w:color w:val="000000"/>
          <w:kern w:val="0"/>
          <w:szCs w:val="28"/>
          <w:shd w:val="clear" w:color="auto" w:fill="FFFFFF"/>
          <w:lang w:val="uz-Cyrl-UZ"/>
        </w:rPr>
        <w:lastRenderedPageBreak/>
        <w:t xml:space="preserve">сельскохозяйственной помощью, включая экономическое развитие и сельскохозяйственную помощь, которые важны для стимулирования экономического развития, интенсивных методов развития, агрегатов, компонентных дивидендов и коэффициентов рентабельности (показателей корпоративного капитала) для оценки производства оливкового масла и капитала. В ходе эмпирического анализа рассматриваются результаты стран, где аграрное государство поддерживает и поощряет финансовую помощь (субсидии, компенсации, гарантии), где существуют различные налоговые и таможенные льготы. Например, «Российская Федерация и Армения, Беларусь и Казахстан повысили уровень технологий производства оливкового масла, что привело к увеличению цены на свободно продаваемое оливковое масло». Такое преимущество обусловлено низким уровнем производственной практики в странах с процветающей евразийской экономикой. Что касается поддержки сельского хозяйства, инвесторы сосредоточились на сельскохозяйственных производственных объединениях и интенсивных технико-технологических инвестициях в аграрный сектор из-за трудностей в сельском хозяйстве, в том числе в производстве сельскохозяйственной продукции. Необходимо освободить необходимый объем средств от платежей по кредитам. Это аграрное предприятие стремится улучшить сельскохозяйственные программы и интегрировать своевременное и качественное производство, что направлено на повышение гибкости многих фермеров в использовании сельскохозяйственной техники. Кроме того, аграрное сообщество оказывает дальнейшую поддержку мелким островным производителям экономичной техникой, особенно мотокультиваторами и мини-тракторами, которые представляют собой импортные оливкоуборочные комбайны с нулевым налогом на добавленную стоимость, способствующие экономическому развитию Бельгии. Данная ситуация отражает ситуацию с производством и экспортом сельскохозяйственной продукции в стране, которая является одним из важнейших секторов развития страны, развития потребления и экономического сотрудничества. Сельскохозяйственные </w:t>
      </w:r>
      <w:r w:rsidRPr="00AD341E">
        <w:rPr>
          <w:bCs/>
          <w:color w:val="000000"/>
          <w:kern w:val="0"/>
          <w:szCs w:val="28"/>
          <w:shd w:val="clear" w:color="auto" w:fill="FFFFFF"/>
          <w:lang w:val="uz-Cyrl-UZ"/>
        </w:rPr>
        <w:lastRenderedPageBreak/>
        <w:t>кооперативы могут способствовать привлечению инвестиций в существующую экономику, обеспечивая экономическую стабильность, высокую эффективность производства, баланс труда, увеличение срока службы хозяйств, а также удовлетворяя потребности в капитале объединения. Таким образом, значительная роль сельскохозяйственных кооперативов в экономике страны привлечет инвестиции.</w:t>
      </w:r>
    </w:p>
    <w:p w:rsidR="00AD341E" w:rsidRPr="00AD341E" w:rsidRDefault="00AD341E" w:rsidP="00AD341E">
      <w:pPr>
        <w:spacing w:after="0" w:line="360" w:lineRule="auto"/>
        <w:ind w:firstLine="720"/>
        <w:jc w:val="both"/>
        <w:rPr>
          <w:bCs/>
          <w:color w:val="000000"/>
          <w:kern w:val="0"/>
          <w:szCs w:val="28"/>
          <w:shd w:val="clear" w:color="auto" w:fill="FFFFFF"/>
          <w:lang w:val="uz-Cyrl-UZ"/>
        </w:rPr>
      </w:pPr>
      <w:r w:rsidRPr="00AD341E">
        <w:rPr>
          <w:bCs/>
          <w:color w:val="000000"/>
          <w:kern w:val="0"/>
          <w:szCs w:val="28"/>
          <w:shd w:val="clear" w:color="auto" w:fill="FFFFFF"/>
          <w:lang w:val="uz-Cyrl-UZ"/>
        </w:rPr>
        <w:t>Сегодня экономический рост республики, сельскохозяйственная продукция и инвестиционные возможности в сфере производства сельскохозяйственной продукции привлекательны для инвесторов. Однако наибольший интерес у инвесторов вызывает именно агропромышленный сектор. Интерес обусловлен экономическими целями, такими как инвестиции в образование детей и кредитное образование. В 2023 году экономические результаты в сфере государственных инвестиций в образование и кредитования молодежи будут в 5,4 раза выше, чем в 2019 году (7,5% по сравнению с 2019 годом).</w:t>
      </w:r>
    </w:p>
    <w:p w:rsidR="006C24C3" w:rsidRPr="00AC6CEE" w:rsidRDefault="00AD341E" w:rsidP="00AC6CEE">
      <w:pPr>
        <w:spacing w:after="0" w:line="360" w:lineRule="auto"/>
        <w:ind w:firstLine="720"/>
        <w:jc w:val="both"/>
        <w:rPr>
          <w:bCs/>
          <w:color w:val="000000"/>
          <w:kern w:val="0"/>
          <w:szCs w:val="28"/>
          <w:shd w:val="clear" w:color="auto" w:fill="FFFFFF"/>
          <w:lang w:val="uz-Cyrl-UZ"/>
        </w:rPr>
      </w:pPr>
      <w:r w:rsidRPr="00AD341E">
        <w:rPr>
          <w:bCs/>
          <w:color w:val="000000"/>
          <w:kern w:val="0"/>
          <w:szCs w:val="28"/>
          <w:shd w:val="clear" w:color="auto" w:fill="FFFFFF"/>
          <w:lang w:val="uz-Cyrl-UZ"/>
        </w:rPr>
        <w:t>Это снижение было обусловлено устойчивым ростом ВВП в предыдущем году. Анализ производства за период, когда годовая процентная ставка по аграрной экономике равнялась общим расходам на инвестиции и кредиты промышленности. В этой связи Бюро сельского хозяйства должно ежегодно уделять особое внимание развитию своих границ в нашей стране, учитывая рост объемов производства. Результатом крайне медленного роста в республике может служить дисбаланс.</w:t>
      </w:r>
    </w:p>
    <w:p w:rsidR="00AC6CEE" w:rsidRPr="00AC6CEE" w:rsidRDefault="007E6B6E" w:rsidP="00AC6CEE">
      <w:pPr>
        <w:spacing w:after="0"/>
        <w:jc w:val="right"/>
        <w:rPr>
          <w:bCs/>
          <w:color w:val="000000"/>
          <w:kern w:val="0"/>
          <w:szCs w:val="28"/>
          <w:shd w:val="clear" w:color="auto" w:fill="FFFFFF"/>
          <w:lang w:val="uz-Cyrl-UZ"/>
        </w:rPr>
      </w:pPr>
      <w:r w:rsidRPr="004A4CC9">
        <w:rPr>
          <w:rFonts w:eastAsia="Times New Roman"/>
          <w:b/>
          <w:bCs/>
          <w:color w:val="000000"/>
          <w:kern w:val="0"/>
          <w:szCs w:val="28"/>
          <w:lang w:val="uz-Cyrl-UZ" w:eastAsia="ru-RU"/>
        </w:rPr>
        <w:t>Таблица 2.8</w:t>
      </w:r>
    </w:p>
    <w:p w:rsidR="00AD341E" w:rsidRDefault="00AD341E" w:rsidP="00AC6CEE">
      <w:pPr>
        <w:spacing w:after="0"/>
        <w:jc w:val="center"/>
        <w:rPr>
          <w:b/>
          <w:bCs/>
          <w:color w:val="000000"/>
          <w:kern w:val="0"/>
          <w:szCs w:val="28"/>
          <w:vertAlign w:val="superscript"/>
          <w:lang w:val="uz-Cyrl-UZ" w:eastAsia="ru-RU"/>
        </w:rPr>
      </w:pPr>
    </w:p>
    <w:p w:rsidR="00AD341E" w:rsidRPr="00AC6CEE" w:rsidRDefault="00AD341E" w:rsidP="00AC6CEE">
      <w:pPr>
        <w:spacing w:after="0"/>
        <w:jc w:val="center"/>
        <w:rPr>
          <w:rFonts w:eastAsia="Times New Roman"/>
          <w:b/>
          <w:bCs/>
          <w:color w:val="000000"/>
          <w:kern w:val="0"/>
          <w:szCs w:val="28"/>
          <w:lang w:val="uz-Cyrl-UZ" w:eastAsia="ru-RU"/>
        </w:rPr>
      </w:pPr>
    </w:p>
    <w:p w:rsidR="00AD341E" w:rsidRPr="00AD341E" w:rsidRDefault="00AD341E" w:rsidP="00AD341E">
      <w:pPr>
        <w:spacing w:after="0" w:line="360" w:lineRule="auto"/>
        <w:ind w:firstLine="720"/>
        <w:jc w:val="both"/>
        <w:rPr>
          <w:bCs/>
          <w:color w:val="000000"/>
          <w:kern w:val="0"/>
          <w:szCs w:val="28"/>
          <w:shd w:val="clear" w:color="auto" w:fill="FFFFFF"/>
          <w:lang w:val="uz-Cyrl-UZ"/>
        </w:rPr>
      </w:pPr>
      <w:r w:rsidRPr="00AD341E">
        <w:rPr>
          <w:bCs/>
          <w:color w:val="000000"/>
          <w:kern w:val="0"/>
          <w:szCs w:val="28"/>
          <w:shd w:val="clear" w:color="auto" w:fill="FFFFFF"/>
          <w:lang w:val="uz-Cyrl-UZ"/>
        </w:rPr>
        <w:t xml:space="preserve">Важно отметить, что иностранные инвестиции в макроэкономические страны обеспечивают безусловную сельскохозяйственную поддержку иностранным инвестициям в борьбе с торговыми тенденциями и индустриализацией. Кровь должна рассматриваться как сигнал опасности при предоставлении помощи. Кроме того, Ассоциация по инвестициям в развитие сельского хозяйства и социальное развитие. Причины поддержки </w:t>
      </w:r>
      <w:r w:rsidRPr="00AD341E">
        <w:rPr>
          <w:bCs/>
          <w:color w:val="000000"/>
          <w:kern w:val="0"/>
          <w:szCs w:val="28"/>
          <w:shd w:val="clear" w:color="auto" w:fill="FFFFFF"/>
          <w:lang w:val="uz-Cyrl-UZ"/>
        </w:rPr>
        <w:lastRenderedPageBreak/>
        <w:t>экономического развития, развития, развития, стихийных бедствий и природных катастроф, развития и развития, а также там, где я был в лесу.</w:t>
      </w:r>
    </w:p>
    <w:p w:rsidR="00AC6CEE" w:rsidRPr="00AC6CEE" w:rsidRDefault="00AD341E" w:rsidP="00AD341E">
      <w:pPr>
        <w:spacing w:after="0" w:line="360" w:lineRule="auto"/>
        <w:ind w:firstLine="720"/>
        <w:jc w:val="both"/>
        <w:rPr>
          <w:bCs/>
          <w:color w:val="000000"/>
          <w:kern w:val="0"/>
          <w:szCs w:val="28"/>
          <w:shd w:val="clear" w:color="auto" w:fill="FFFFFF"/>
          <w:lang w:val="uz-Cyrl-UZ"/>
        </w:rPr>
      </w:pPr>
      <w:r w:rsidRPr="00AD341E">
        <w:rPr>
          <w:bCs/>
          <w:color w:val="000000"/>
          <w:kern w:val="0"/>
          <w:szCs w:val="28"/>
          <w:shd w:val="clear" w:color="auto" w:fill="FFFFFF"/>
          <w:lang w:val="uz-Cyrl-UZ"/>
        </w:rPr>
        <w:t>Вновь инвесторы могут усилить поддержку страной инвестиций в сельское хозяйство в условиях необходимости укрепления экономики страны. Инструкции по цене кофе 2,3 звезды также касаются курильщиков. В частности, государственный бюджет на государственные инвестиции и защитные кордоны на 2019-2023 годы составляет примерно 1,4 процента от бюджета сельскохозяйственных кооперативов Республики Таджикистан (54,3 процента). Причинами этого являются трудности, с которыми правительство до сих пор сталкивалось при создании инвестиционных возможностей удобным и привлекательным способом, что характеризуется необходимостью инвестирования в защиту, развития инвестиционных проектов в кордонах сельскохозяйственных предприятий в сельской местности. Для этого необходимо строить инфраструктуру в соответствии с основным назначением.</w:t>
      </w:r>
    </w:p>
    <w:p w:rsidR="00AC6CEE" w:rsidRPr="00AC6CEE" w:rsidRDefault="00AC6CEE" w:rsidP="00AC6CEE">
      <w:pPr>
        <w:spacing w:after="0"/>
        <w:ind w:firstLine="709"/>
        <w:jc w:val="both"/>
        <w:rPr>
          <w:kern w:val="0"/>
          <w:sz w:val="22"/>
          <w:lang w:val="uz-Cyrl-UZ"/>
        </w:rPr>
      </w:pPr>
    </w:p>
    <w:p w:rsidR="00AD341E" w:rsidRPr="00AD341E" w:rsidRDefault="00AD341E" w:rsidP="00AD341E">
      <w:pPr>
        <w:spacing w:after="0" w:line="360" w:lineRule="auto"/>
        <w:ind w:firstLine="720"/>
        <w:jc w:val="both"/>
        <w:rPr>
          <w:bCs/>
          <w:color w:val="000000"/>
          <w:kern w:val="0"/>
          <w:szCs w:val="28"/>
          <w:shd w:val="clear" w:color="auto" w:fill="FFFFFF"/>
          <w:lang w:val="uz-Cyrl-UZ"/>
        </w:rPr>
      </w:pPr>
      <w:r w:rsidRPr="00AD341E">
        <w:rPr>
          <w:bCs/>
          <w:color w:val="000000"/>
          <w:kern w:val="0"/>
          <w:szCs w:val="28"/>
          <w:shd w:val="clear" w:color="auto" w:fill="FFFFFF"/>
          <w:lang w:val="uz-Cyrl-UZ"/>
        </w:rPr>
        <w:t>Согласно отчету, инвестиционные инициативы сельскохозяйственных кооперативов реализуются в рамках инвестиционных фондов с целевым показателем в 15 и 12 процентов на развитие инвестиций. В этой связи усилена деятельность сельскохозяйственных кооперативов в области защиты инвестиций, развития растущего рынка и обеспечения инвестиционной безопасности.</w:t>
      </w:r>
    </w:p>
    <w:p w:rsidR="00AC6CEE" w:rsidRPr="00AC6CEE" w:rsidRDefault="00AD341E" w:rsidP="00AD341E">
      <w:pPr>
        <w:spacing w:after="0" w:line="360" w:lineRule="auto"/>
        <w:ind w:firstLine="720"/>
        <w:jc w:val="both"/>
        <w:rPr>
          <w:bCs/>
          <w:color w:val="000000"/>
          <w:kern w:val="0"/>
          <w:szCs w:val="28"/>
          <w:shd w:val="clear" w:color="auto" w:fill="FFFFFF"/>
          <w:lang w:val="uz-Cyrl-UZ"/>
        </w:rPr>
      </w:pPr>
      <w:r w:rsidRPr="00AD341E">
        <w:rPr>
          <w:bCs/>
          <w:color w:val="000000"/>
          <w:kern w:val="0"/>
          <w:szCs w:val="28"/>
          <w:shd w:val="clear" w:color="auto" w:fill="FFFFFF"/>
          <w:lang w:val="uz-Cyrl-UZ"/>
        </w:rPr>
        <w:t xml:space="preserve">Активная реализация инвестиций в агросектор играет решающую роль в производстве продуктов питания. В этой связи Президент Республики Узбекистан Ш.М.Мирзиёев в своем выступлении на совместном заседании председателя палаты Олий Мажлиса отметил, что «я позаимствовал из задач реформирования сельского хозяйства и развития производства продуктов питания, занятости, свободы слова. Кроме того, агрономические комплексы и соединительные локомотивы, что означает прочное закрепление движения крестьянских домов в полях </w:t>
      </w:r>
      <w:r w:rsidR="00AC6CEE" w:rsidRPr="00AC6CEE">
        <w:rPr>
          <w:bCs/>
          <w:color w:val="000000"/>
          <w:kern w:val="0"/>
          <w:szCs w:val="28"/>
          <w:shd w:val="clear" w:color="auto" w:fill="FFFFFF"/>
          <w:vertAlign w:val="superscript"/>
          <w:lang w:val="uz-Cyrl-UZ"/>
        </w:rPr>
        <w:footnoteReference w:id="48"/>
      </w:r>
      <w:r w:rsidR="00AC6CEE" w:rsidRPr="00AC6CEE">
        <w:rPr>
          <w:bCs/>
          <w:color w:val="000000"/>
          <w:kern w:val="0"/>
          <w:szCs w:val="28"/>
          <w:shd w:val="clear" w:color="auto" w:fill="FFFFFF"/>
          <w:lang w:val="uz-Cyrl-UZ"/>
        </w:rPr>
        <w:t>,</w:t>
      </w:r>
    </w:p>
    <w:p w:rsidR="00AC6CEE" w:rsidRPr="00AC6CEE" w:rsidRDefault="00AC6CEE" w:rsidP="00AC6CEE">
      <w:pPr>
        <w:spacing w:after="0" w:line="360" w:lineRule="auto"/>
        <w:ind w:firstLine="720"/>
        <w:jc w:val="both"/>
        <w:rPr>
          <w:bCs/>
          <w:color w:val="000000"/>
          <w:kern w:val="0"/>
          <w:szCs w:val="28"/>
          <w:shd w:val="clear" w:color="auto" w:fill="FFFFFF"/>
          <w:lang w:val="uz-Cyrl-UZ"/>
        </w:rPr>
      </w:pPr>
      <w:r w:rsidRPr="00AC6CEE">
        <w:rPr>
          <w:bCs/>
          <w:color w:val="000000"/>
          <w:kern w:val="0"/>
          <w:szCs w:val="28"/>
          <w:shd w:val="clear" w:color="auto" w:fill="FFFFFF"/>
          <w:lang w:val="uz-Cyrl-UZ"/>
        </w:rPr>
        <w:lastRenderedPageBreak/>
        <w:t xml:space="preserve">Несмотря на эффективную работу, проводимую сегодня развитыми и развивающимися странами по выращиванию продовольствия, темпы роста производства продуктов питания отстают от роста населения. По данным ООН, «815 миллионов человек в мире голодают, и к 2050 году </w:t>
      </w:r>
      <w:r w:rsidRPr="00DF774B">
        <w:rPr>
          <w:bCs/>
          <w:color w:val="000000"/>
          <w:kern w:val="0"/>
          <w:szCs w:val="28"/>
          <w:shd w:val="clear" w:color="auto" w:fill="FFFFFF"/>
          <w:lang w:val="ru-RU"/>
        </w:rPr>
        <w:t xml:space="preserve">это </w:t>
      </w:r>
      <w:r w:rsidRPr="00AC6CEE">
        <w:rPr>
          <w:bCs/>
          <w:color w:val="000000"/>
          <w:kern w:val="0"/>
          <w:szCs w:val="28"/>
          <w:shd w:val="clear" w:color="auto" w:fill="FFFFFF"/>
          <w:lang w:val="uz-Cyrl-UZ"/>
        </w:rPr>
        <w:t xml:space="preserve">число достигнет 2 миллиардов. 12,9% из них живут в развивающихся странах. 45% смертей среди детей в возрасте до пяти лет вызваны недоеданием </w:t>
      </w:r>
      <w:r w:rsidRPr="00AC6CEE">
        <w:rPr>
          <w:bCs/>
          <w:color w:val="000000"/>
          <w:kern w:val="0"/>
          <w:szCs w:val="28"/>
          <w:shd w:val="clear" w:color="auto" w:fill="FFFFFF"/>
          <w:vertAlign w:val="superscript"/>
          <w:lang w:val="uz-Cyrl-UZ"/>
        </w:rPr>
        <w:footnoteReference w:id="49"/>
      </w:r>
      <w:r w:rsidRPr="00AC6CEE">
        <w:rPr>
          <w:bCs/>
          <w:color w:val="000000"/>
          <w:kern w:val="0"/>
          <w:szCs w:val="28"/>
          <w:shd w:val="clear" w:color="auto" w:fill="FFFFFF"/>
          <w:lang w:val="uz-Cyrl-UZ"/>
        </w:rPr>
        <w:t xml:space="preserve">». По словам Максимо Тореро, главного экономиста Продовольственной и сельскохозяйственной организации ООН, «людям в мире просто нечего есть, и они умирают от болезней и недоедания. Число таких людей увеличилось с 705 000 в 2023 году до 1,9 миллиона в 2024 году </w:t>
      </w:r>
      <w:r w:rsidRPr="00AC6CEE">
        <w:rPr>
          <w:bCs/>
          <w:color w:val="000000"/>
          <w:kern w:val="0"/>
          <w:szCs w:val="28"/>
          <w:shd w:val="clear" w:color="auto" w:fill="FFFFFF"/>
          <w:vertAlign w:val="superscript"/>
        </w:rPr>
        <w:footnoteReference w:id="50"/>
      </w:r>
      <w:r w:rsidRPr="00AC6CEE">
        <w:rPr>
          <w:bCs/>
          <w:color w:val="000000"/>
          <w:kern w:val="0"/>
          <w:szCs w:val="28"/>
          <w:shd w:val="clear" w:color="auto" w:fill="FFFFFF"/>
          <w:lang w:val="uz-Cyrl-UZ"/>
        </w:rPr>
        <w:t>». Это свидетельствует о том, что проблема становится все более острой (углубляется) в странах, где отсутствуют достаточные условия для развития сельскохозяйственного сектора.</w:t>
      </w:r>
    </w:p>
    <w:p w:rsidR="00AC6CEE" w:rsidRPr="00AC6CEE" w:rsidRDefault="00AC6CEE" w:rsidP="00AC6CEE">
      <w:pPr>
        <w:spacing w:after="0" w:line="360" w:lineRule="auto"/>
        <w:ind w:firstLine="720"/>
        <w:jc w:val="both"/>
        <w:rPr>
          <w:bCs/>
          <w:color w:val="000000"/>
          <w:kern w:val="0"/>
          <w:szCs w:val="28"/>
          <w:shd w:val="clear" w:color="auto" w:fill="FFFFFF"/>
          <w:lang w:val="uz-Cyrl-UZ"/>
        </w:rPr>
      </w:pPr>
      <w:r w:rsidRPr="00AC6CEE">
        <w:rPr>
          <w:bCs/>
          <w:color w:val="000000"/>
          <w:kern w:val="0"/>
          <w:szCs w:val="28"/>
          <w:shd w:val="clear" w:color="auto" w:fill="FFFFFF"/>
          <w:lang w:val="uz-Cyrl-UZ"/>
        </w:rPr>
        <w:t xml:space="preserve">В связи с ежегодным приростом населения страны (в 2010-2023 годах население увеличилось на 8 023,5 тыс. человек, а в 2024 году число постоянных жителей растет в среднем на 2 тыс. человек в день), интенсификацией процессов урбанизации, изменением климатических условий, сокращением сельскохозяйственных угодий и другими факторами, вопрос организации интенсивного производства продуктов питания и удовлетворения растущих потребностей населения становится все более актуальным с каждым годом. Также, «общий земельный фонд нашей республики составляет 44,8 млн гектаров, из которых 5-6 млн гектаров используются под сельское хозяйство» </w:t>
      </w:r>
      <w:r w:rsidRPr="00AC6CEE">
        <w:rPr>
          <w:bCs/>
          <w:color w:val="000000"/>
          <w:kern w:val="0"/>
          <w:szCs w:val="28"/>
          <w:shd w:val="clear" w:color="auto" w:fill="FFFFFF"/>
          <w:vertAlign w:val="superscript"/>
          <w:lang w:val="uz-Cyrl-UZ"/>
        </w:rPr>
        <w:footnoteReference w:id="51"/>
      </w:r>
      <w:r w:rsidRPr="00AC6CEE">
        <w:rPr>
          <w:bCs/>
          <w:color w:val="000000"/>
          <w:kern w:val="0"/>
          <w:szCs w:val="28"/>
          <w:shd w:val="clear" w:color="auto" w:fill="FFFFFF"/>
          <w:lang w:val="uz-Cyrl-UZ"/>
        </w:rPr>
        <w:t xml:space="preserve">, «только 9,7% от общей площади земель нашей республики являются орошаемыми» </w:t>
      </w:r>
      <w:r w:rsidRPr="00AC6CEE">
        <w:rPr>
          <w:bCs/>
          <w:color w:val="000000"/>
          <w:kern w:val="0"/>
          <w:szCs w:val="28"/>
          <w:shd w:val="clear" w:color="auto" w:fill="FFFFFF"/>
          <w:vertAlign w:val="superscript"/>
          <w:lang w:val="uz-Cyrl-UZ"/>
        </w:rPr>
        <w:footnoteReference w:id="52"/>
      </w:r>
      <w:r w:rsidRPr="00AC6CEE">
        <w:rPr>
          <w:bCs/>
          <w:color w:val="000000"/>
          <w:kern w:val="0"/>
          <w:szCs w:val="28"/>
          <w:shd w:val="clear" w:color="auto" w:fill="FFFFFF"/>
          <w:lang w:val="uz-Cyrl-UZ"/>
        </w:rPr>
        <w:t>.</w:t>
      </w:r>
    </w:p>
    <w:p w:rsidR="00AC6CEE" w:rsidRPr="00AC6CEE" w:rsidRDefault="00AC6CEE" w:rsidP="00AC6CEE">
      <w:pPr>
        <w:spacing w:after="0" w:line="360" w:lineRule="auto"/>
        <w:ind w:firstLine="720"/>
        <w:jc w:val="both"/>
        <w:rPr>
          <w:bCs/>
          <w:color w:val="000000"/>
          <w:kern w:val="0"/>
          <w:szCs w:val="28"/>
          <w:shd w:val="clear" w:color="auto" w:fill="FFFFFF"/>
          <w:lang w:val="uz-Cyrl-UZ"/>
        </w:rPr>
      </w:pPr>
      <w:r w:rsidRPr="00AC6CEE">
        <w:rPr>
          <w:bCs/>
          <w:color w:val="000000"/>
          <w:kern w:val="0"/>
          <w:szCs w:val="28"/>
          <w:shd w:val="clear" w:color="auto" w:fill="FFFFFF"/>
          <w:lang w:val="uz-Cyrl-UZ"/>
        </w:rPr>
        <w:t xml:space="preserve">Высокая роль крестьянских хозяйств в обеспечении стабильности продовольственного снабжения создает основу для масштабных реформ в </w:t>
      </w:r>
      <w:r w:rsidRPr="00AC6CEE">
        <w:rPr>
          <w:bCs/>
          <w:color w:val="000000"/>
          <w:kern w:val="0"/>
          <w:szCs w:val="28"/>
          <w:shd w:val="clear" w:color="auto" w:fill="FFFFFF"/>
          <w:lang w:val="uz-Cyrl-UZ"/>
        </w:rPr>
        <w:lastRenderedPageBreak/>
        <w:t xml:space="preserve">развитии этих хозяйствующих субъектов. В контексте модернизации и диверсификации аграрного хозяйства в нашей стране, устойчивого развития сельского хозяйства, потребности населения в продовольствии во многом связаны с деятельностью крестьянских хозяйств и хозяйствующих субъектов, поэтому крайне важно дальнейшее развитие деятельности крестьянских хозяйств. В конце концов, как подчеркнул наш уважаемый Президент, «единственный способ обеспечить стабильность цен на продовольствие на потребительском рынке — это увеличить объемы производства фруктов и овощей, животноводства и других продуктов питания </w:t>
      </w:r>
      <w:r w:rsidRPr="00AC6CEE">
        <w:rPr>
          <w:bCs/>
          <w:color w:val="000000"/>
          <w:kern w:val="0"/>
          <w:szCs w:val="28"/>
          <w:shd w:val="clear" w:color="auto" w:fill="FFFFFF"/>
          <w:vertAlign w:val="superscript"/>
          <w:lang w:val="uz-Cyrl-UZ"/>
        </w:rPr>
        <w:footnoteReference w:id="53"/>
      </w:r>
      <w:r w:rsidRPr="00AC6CEE">
        <w:rPr>
          <w:bCs/>
          <w:color w:val="000000"/>
          <w:kern w:val="0"/>
          <w:szCs w:val="28"/>
          <w:shd w:val="clear" w:color="auto" w:fill="FFFFFF"/>
          <w:lang w:val="uz-Cyrl-UZ"/>
        </w:rPr>
        <w:t xml:space="preserve">». Кроме того, «согласно рекомендациям международных диетологов, не менее 50 процентов потребляемой человеком пищи должны составлять фрукты и овощи </w:t>
      </w:r>
      <w:r w:rsidRPr="00AC6CEE">
        <w:rPr>
          <w:bCs/>
          <w:color w:val="000000"/>
          <w:kern w:val="0"/>
          <w:szCs w:val="28"/>
          <w:shd w:val="clear" w:color="auto" w:fill="FFFFFF"/>
          <w:vertAlign w:val="superscript"/>
          <w:lang w:val="uz-Cyrl-UZ"/>
        </w:rPr>
        <w:footnoteReference w:id="54"/>
      </w:r>
      <w:r w:rsidRPr="00AC6CEE">
        <w:rPr>
          <w:bCs/>
          <w:color w:val="000000"/>
          <w:kern w:val="0"/>
          <w:szCs w:val="28"/>
          <w:shd w:val="clear" w:color="auto" w:fill="FFFFFF"/>
          <w:lang w:val="uz-Cyrl-UZ"/>
        </w:rPr>
        <w:t xml:space="preserve">». Это главный фактор обеспечения жизнеспособности человека. «Сегодня 53,2 процента сельскохозяйственной продукции производится фермерскими хозяйствами, 37,9 процента — крестьянскими и хозяйствующими субъектами, а 8,9 процента — организациями, осуществляющими сельскохозяйственную деятельность » </w:t>
      </w:r>
      <w:r w:rsidRPr="00AC6CEE">
        <w:rPr>
          <w:bCs/>
          <w:color w:val="000000"/>
          <w:kern w:val="0"/>
          <w:szCs w:val="28"/>
          <w:shd w:val="clear" w:color="auto" w:fill="FFFFFF"/>
          <w:vertAlign w:val="superscript"/>
          <w:lang w:val="uz-Cyrl-UZ"/>
        </w:rPr>
        <w:footnoteReference w:id="55"/>
      </w:r>
      <w:r w:rsidRPr="00AC6CEE">
        <w:rPr>
          <w:bCs/>
          <w:color w:val="000000"/>
          <w:kern w:val="0"/>
          <w:szCs w:val="28"/>
          <w:shd w:val="clear" w:color="auto" w:fill="FFFFFF"/>
          <w:lang w:val="uz-Cyrl-UZ"/>
        </w:rPr>
        <w:t>.</w:t>
      </w:r>
    </w:p>
    <w:p w:rsidR="00AD341E" w:rsidRPr="00AD341E" w:rsidRDefault="00AD341E" w:rsidP="00AD341E">
      <w:pPr>
        <w:spacing w:after="0" w:line="360" w:lineRule="auto"/>
        <w:ind w:firstLine="720"/>
        <w:jc w:val="both"/>
        <w:rPr>
          <w:bCs/>
          <w:color w:val="000000"/>
          <w:kern w:val="0"/>
          <w:szCs w:val="28"/>
          <w:shd w:val="clear" w:color="auto" w:fill="FFFFFF"/>
          <w:lang w:val="uz-Cyrl-UZ"/>
        </w:rPr>
      </w:pPr>
      <w:r w:rsidRPr="00AD341E">
        <w:rPr>
          <w:bCs/>
          <w:color w:val="000000"/>
          <w:kern w:val="0"/>
          <w:szCs w:val="28"/>
          <w:shd w:val="clear" w:color="auto" w:fill="FFFFFF"/>
          <w:lang w:val="uz-Cyrl-UZ"/>
        </w:rPr>
        <w:t xml:space="preserve">Эти условия ограничиваются созданием интенсивных лесных массивов, особенно для развития лесного хозяйства. Словарь финансовых стимулов для этого успешен. Согласно отчетам, при создании собственных лесных рынков им приходится оплачивать импорт оборудования и техники для снижения цен и увеличения предложения. Это будет способствовать дальнейшему экономическому росту Узбекистана, интенсивному развитию сельскохозяйственной продукции и услуг, экономическому росту и развитию промышленности и сельскохозяйственной продукции, развитию экспорта, созданию прибыльных рабочих мест. Объективные характеристики инвестиций в поддержку сельского хозяйства: объединения фондов, созданные для развития и защиты, технические инвестиции в </w:t>
      </w:r>
      <w:r w:rsidRPr="00AD341E">
        <w:rPr>
          <w:bCs/>
          <w:color w:val="000000"/>
          <w:kern w:val="0"/>
          <w:szCs w:val="28"/>
          <w:shd w:val="clear" w:color="auto" w:fill="FFFFFF"/>
          <w:lang w:val="uz-Cyrl-UZ"/>
        </w:rPr>
        <w:lastRenderedPageBreak/>
        <w:t>сельскохозяйственное производство и агротехнику; строительство организованных биноклей различного назначения (внедорожные индуктивные устройства, спутниковые, животноводческие бинокли, теплицы, технические складские бинокли); производство водно-болотных угодий; освоение новых земельных участков; улучшение орошения и мелиорации земель и повышение их плодородия; хризантемы дорог; производство электромобилей; обеспечение условий труда работников в сфере производства оливкового масла и других отраслях (строительные работы); объединения фондов венчурного капитала; Возможны варианты использования языка Ульриха, языка Кеньятта, существовавшего в период модернизации, или культуры племени Шу в переходный период.</w:t>
      </w:r>
    </w:p>
    <w:p w:rsidR="00AD341E" w:rsidRPr="00AD341E" w:rsidRDefault="00AD341E" w:rsidP="00AD341E">
      <w:pPr>
        <w:spacing w:after="0" w:line="360" w:lineRule="auto"/>
        <w:ind w:firstLine="720"/>
        <w:jc w:val="both"/>
        <w:rPr>
          <w:bCs/>
          <w:color w:val="000000"/>
          <w:kern w:val="0"/>
          <w:szCs w:val="28"/>
          <w:shd w:val="clear" w:color="auto" w:fill="FFFFFF"/>
          <w:lang w:val="uz-Cyrl-UZ"/>
        </w:rPr>
      </w:pPr>
      <w:r w:rsidRPr="00AD341E">
        <w:rPr>
          <w:bCs/>
          <w:color w:val="000000"/>
          <w:kern w:val="0"/>
          <w:szCs w:val="28"/>
          <w:shd w:val="clear" w:color="auto" w:fill="FFFFFF"/>
          <w:lang w:val="uz-Cyrl-UZ"/>
        </w:rPr>
        <w:t>В частности, страны, которые отдают предпочтение инвестициям на рынках капитала для привлечения инвесторов из-за риска, связанного с инвестированием в экономику, привлекательны для инвесторов, и для этого необходимы регулирование рынка, регулирование инвестиций, политические, социальные и экономические механизмы, а также механизмы выхода и привлечения инвестиций. Юрисдикция позволяет создавать ряд условий для обеспечения гарантированного инвестирования.</w:t>
      </w:r>
    </w:p>
    <w:p w:rsidR="00AC6CEE" w:rsidRPr="00AC6CEE" w:rsidRDefault="00AD341E" w:rsidP="00AD341E">
      <w:pPr>
        <w:spacing w:after="0" w:line="360" w:lineRule="auto"/>
        <w:ind w:firstLine="720"/>
        <w:jc w:val="both"/>
        <w:rPr>
          <w:bCs/>
          <w:kern w:val="0"/>
          <w:szCs w:val="28"/>
          <w:lang w:val="uz-Cyrl-UZ"/>
        </w:rPr>
      </w:pPr>
      <w:r w:rsidRPr="00AD341E">
        <w:rPr>
          <w:bCs/>
          <w:color w:val="000000"/>
          <w:kern w:val="0"/>
          <w:szCs w:val="28"/>
          <w:shd w:val="clear" w:color="auto" w:fill="FFFFFF"/>
          <w:lang w:val="uz-Cyrl-UZ"/>
        </w:rPr>
        <w:t xml:space="preserve">Сегодня, по словам г-на Келибоба, инвестиционный климат в республике экономически силен, и инвесторов привлекают возможности «зеленого» развития страны. Однако средний частный инвестор в мире, как правило, не осознает важность иностранных инвестиций и не сможет их привлечь. Согласно отчету, «Узбекистан достигнет своих целей экономического развития к 2024 году, привлекая более 500 миллионов долларов иностранных инвестиций в образование, профессиональную подготовку, развитие и инвестиции в размере 655 миллионов долларов» </w:t>
      </w:r>
      <w:r w:rsidR="00AC6CEE" w:rsidRPr="00AC6CEE">
        <w:rPr>
          <w:bCs/>
          <w:kern w:val="0"/>
          <w:szCs w:val="28"/>
          <w:vertAlign w:val="superscript"/>
          <w:lang w:val="uz-Cyrl-UZ"/>
        </w:rPr>
        <w:footnoteReference w:id="56"/>
      </w:r>
      <w:r w:rsidR="00AC6CEE" w:rsidRPr="00AC6CEE">
        <w:rPr>
          <w:bCs/>
          <w:kern w:val="0"/>
          <w:szCs w:val="28"/>
          <w:lang w:val="uz-Cyrl-UZ"/>
        </w:rPr>
        <w:t>.</w:t>
      </w:r>
    </w:p>
    <w:p w:rsidR="00AC6CEE" w:rsidRPr="00AC6CEE" w:rsidRDefault="00AC6CEE" w:rsidP="00AC6CEE">
      <w:pPr>
        <w:spacing w:after="0" w:line="360" w:lineRule="auto"/>
        <w:ind w:firstLine="720"/>
        <w:jc w:val="both"/>
        <w:rPr>
          <w:bCs/>
          <w:kern w:val="0"/>
          <w:szCs w:val="28"/>
          <w:lang w:val="uz-Cyrl-UZ"/>
        </w:rPr>
      </w:pPr>
      <w:r w:rsidRPr="00AC6CEE">
        <w:rPr>
          <w:bCs/>
          <w:kern w:val="0"/>
          <w:szCs w:val="28"/>
          <w:lang w:val="uz-Cyrl-UZ"/>
        </w:rPr>
        <w:t xml:space="preserve">Учитывая экономический потенциал аграрного сектора и исходя из краткосрочной стратегии развития страны, можно отметить, что сельское хозяйство останется ведущим сектором экономики в ближайшие годы. В связи </w:t>
      </w:r>
      <w:r w:rsidRPr="00AC6CEE">
        <w:rPr>
          <w:bCs/>
          <w:kern w:val="0"/>
          <w:szCs w:val="28"/>
          <w:lang w:val="uz-Cyrl-UZ"/>
        </w:rPr>
        <w:lastRenderedPageBreak/>
        <w:t>с этим, всестороннее и углубленное изучение финансовых основ развития этого сектора является насущной необходимостью. В частности, крайне актуальной задачей остается привлечение иностранных инвестиций на предприятия, занимающиеся производством в этом секторе (сельскохозяйственном, лесном и рыболовном), и развитие финансирования инвестиционной деятельности.</w:t>
      </w:r>
    </w:p>
    <w:p w:rsidR="00C05069" w:rsidRPr="00C05069" w:rsidRDefault="00C05069" w:rsidP="00C05069">
      <w:pPr>
        <w:tabs>
          <w:tab w:val="left" w:pos="993"/>
        </w:tabs>
        <w:spacing w:after="0" w:line="360" w:lineRule="auto"/>
        <w:ind w:firstLine="720"/>
        <w:jc w:val="both"/>
        <w:rPr>
          <w:kern w:val="0"/>
          <w:szCs w:val="28"/>
          <w:lang w:val="uz-Cyrl-UZ"/>
        </w:rPr>
      </w:pPr>
      <w:r w:rsidRPr="00C05069">
        <w:rPr>
          <w:kern w:val="0"/>
          <w:szCs w:val="28"/>
          <w:lang w:val="uz-Cyrl-UZ"/>
        </w:rPr>
        <w:t>В последние годы правительство Узбекистана проводит масштабную работу по развитию агропромышленного сектора и улучшению инвестиционного климата в отрасли. В частности, все большее внимание к сотрудничеству с Узбекистаном и реализации новых проектов в агропромышленном, торговом и логистическом секторах привлекают инвесторы из Европы, Китая, России и других стран. Свидетельством тому служит реализация в стране в 2019-2022 годах 143 проектов на сумму 266,5 млн долларов США. Только в масложировой промышленности было освоено 184,7 млн долларов США (69,3%) инвестиций. Кроме того, активно инвестируются средства в развитие кормовой промышленности Узбекистана (27 проектов на сумму 27,1 млн долларов США), а также в строительство современных складов и модернизацию существующих производственных мощностей. Это позитивное развитие с точки зрения модернизации сельского хозяйства, повышения производительности в агропромышленном секторе и интенсивного развития сельскохозяйственного производства.</w:t>
      </w:r>
    </w:p>
    <w:p w:rsidR="00C05069" w:rsidRPr="00C05069" w:rsidRDefault="00C05069" w:rsidP="00C05069">
      <w:pPr>
        <w:tabs>
          <w:tab w:val="left" w:pos="993"/>
        </w:tabs>
        <w:spacing w:after="0" w:line="259" w:lineRule="auto"/>
        <w:ind w:firstLine="709"/>
        <w:jc w:val="both"/>
        <w:rPr>
          <w:kern w:val="0"/>
          <w:szCs w:val="28"/>
          <w:lang w:val="uz-Cyrl-UZ"/>
        </w:rPr>
      </w:pPr>
    </w:p>
    <w:p w:rsidR="00AD341E" w:rsidRPr="00AD341E" w:rsidRDefault="00AD341E" w:rsidP="00AD341E">
      <w:pPr>
        <w:tabs>
          <w:tab w:val="left" w:pos="993"/>
        </w:tabs>
        <w:spacing w:after="0" w:line="360" w:lineRule="auto"/>
        <w:ind w:firstLine="720"/>
        <w:jc w:val="both"/>
        <w:rPr>
          <w:kern w:val="0"/>
          <w:szCs w:val="28"/>
          <w:lang w:val="uz-Cyrl-UZ"/>
        </w:rPr>
      </w:pPr>
      <w:r w:rsidRPr="00AD341E">
        <w:rPr>
          <w:kern w:val="0"/>
          <w:szCs w:val="28"/>
          <w:lang w:val="uz-Cyrl-UZ"/>
        </w:rPr>
        <w:t>Инвестиции в сельское хозяйство Узбекистана направлены на строительство современных предприятий по производству соевого масла, масличных культур, пищевых эмульгаторов (оборудование для переработки эмульсий, стабилизаторы эмульсий для молочных продуктов), заменителей молочного жира и заменителей молочного жира.</w:t>
      </w:r>
    </w:p>
    <w:p w:rsidR="00AD341E" w:rsidRPr="00AD341E" w:rsidRDefault="00AD341E" w:rsidP="00AD341E">
      <w:pPr>
        <w:tabs>
          <w:tab w:val="left" w:pos="993"/>
        </w:tabs>
        <w:spacing w:after="0" w:line="360" w:lineRule="auto"/>
        <w:ind w:firstLine="720"/>
        <w:jc w:val="both"/>
        <w:rPr>
          <w:kern w:val="0"/>
          <w:szCs w:val="28"/>
          <w:lang w:val="uz-Cyrl-UZ"/>
        </w:rPr>
      </w:pPr>
      <w:r w:rsidRPr="00AD341E">
        <w:rPr>
          <w:kern w:val="0"/>
          <w:szCs w:val="28"/>
          <w:lang w:val="uz-Cyrl-UZ"/>
        </w:rPr>
        <w:t xml:space="preserve">Следует отметить, что компонентом сельского хозяйства является выращивание сельскохозяйственных культур и разведение скота. Существуют различные методы производства продукции, включая земледелие, лесное </w:t>
      </w:r>
      <w:r w:rsidRPr="00AD341E">
        <w:rPr>
          <w:kern w:val="0"/>
          <w:szCs w:val="28"/>
          <w:lang w:val="uz-Cyrl-UZ"/>
        </w:rPr>
        <w:lastRenderedPageBreak/>
        <w:t>хозяйство, животноводство, садоводство, лесоводство, водохозяйственное управление и лесное хозяйство. Цель сельского хозяйства – обеспечение населения продукцией, изучение результатов исследований производителя, то есть обеспечение их целевым назначением. По его мнению, сильный интерес к инвестициям в недвижимость привел к развитию кооперативных подходов к развитию храма или рождению ребенка. В частности, существует потребность в инвестициях в создание метода привлечения средств и торговли.</w:t>
      </w:r>
    </w:p>
    <w:p w:rsidR="00C05069" w:rsidRPr="00C05069" w:rsidRDefault="00AD341E" w:rsidP="00AD341E">
      <w:pPr>
        <w:tabs>
          <w:tab w:val="left" w:pos="993"/>
        </w:tabs>
        <w:spacing w:after="0" w:line="360" w:lineRule="auto"/>
        <w:ind w:firstLine="720"/>
        <w:jc w:val="both"/>
        <w:rPr>
          <w:kern w:val="0"/>
          <w:szCs w:val="28"/>
          <w:lang w:val="uz-Cyrl-UZ"/>
        </w:rPr>
      </w:pPr>
      <w:r w:rsidRPr="00AD341E">
        <w:rPr>
          <w:kern w:val="0"/>
          <w:szCs w:val="28"/>
          <w:lang w:val="uz-Cyrl-UZ"/>
        </w:rPr>
        <w:t>В 2019-2022 годах Ассоциация сельскохозяйственных кооперативов Узбекистана заключила государственные инвестиционные контракты (266,5 млн долларов США), предоставила 41,4 млн инвестиционных займов, 40,2 млн акций иностранных банков, а 18 займов были частью образовательных инвестиций на основе продвижения.</w:t>
      </w:r>
    </w:p>
    <w:p w:rsidR="00AD341E" w:rsidRPr="00AD341E" w:rsidRDefault="00AD341E" w:rsidP="00AD341E">
      <w:pPr>
        <w:spacing w:after="0" w:line="360" w:lineRule="auto"/>
        <w:ind w:firstLine="720"/>
        <w:jc w:val="both"/>
        <w:rPr>
          <w:kern w:val="0"/>
          <w:szCs w:val="28"/>
          <w:lang w:val="uz-Cyrl-UZ"/>
        </w:rPr>
      </w:pPr>
      <w:r w:rsidRPr="00AD341E">
        <w:rPr>
          <w:kern w:val="0"/>
          <w:szCs w:val="28"/>
          <w:lang w:val="uz-Cyrl-UZ"/>
        </w:rPr>
        <w:t>Кроме того, инвестиции в образовательные учреждения, созданные на базе сельскохозяйственных кооперативов Узбекистана, породили высокий спрос на золото. Компания Investment Management Modi является инвестиционной организацией, риск-менеджером, ответственным за инвестиционный анализ как посредством собственных инвестиций, так и инвестиционных фондов компании Critiladi Bakintish Hamda and Company. Понимание макроэкономических условий необходимо для конкурентоспособных инвестиций.</w:t>
      </w:r>
    </w:p>
    <w:p w:rsidR="00AD341E" w:rsidRPr="00AD341E" w:rsidRDefault="00AD341E" w:rsidP="00AD341E">
      <w:pPr>
        <w:spacing w:after="0" w:line="360" w:lineRule="auto"/>
        <w:ind w:firstLine="720"/>
        <w:jc w:val="both"/>
        <w:rPr>
          <w:kern w:val="0"/>
          <w:szCs w:val="28"/>
          <w:lang w:val="uz-Cyrl-UZ"/>
        </w:rPr>
      </w:pPr>
      <w:r w:rsidRPr="00AD341E">
        <w:rPr>
          <w:kern w:val="0"/>
          <w:szCs w:val="28"/>
          <w:lang w:val="uz-Cyrl-UZ"/>
        </w:rPr>
        <w:t>Варианты инвестирования на уровне акционеров поселка включают:</w:t>
      </w:r>
    </w:p>
    <w:p w:rsidR="00AD341E" w:rsidRPr="00AD341E" w:rsidRDefault="00AD341E" w:rsidP="00AD341E">
      <w:pPr>
        <w:spacing w:after="0" w:line="360" w:lineRule="auto"/>
        <w:ind w:firstLine="720"/>
        <w:jc w:val="both"/>
        <w:rPr>
          <w:kern w:val="0"/>
          <w:szCs w:val="28"/>
          <w:lang w:val="uz-Cyrl-UZ"/>
        </w:rPr>
      </w:pPr>
      <w:r w:rsidRPr="00AD341E">
        <w:rPr>
          <w:kern w:val="0"/>
          <w:szCs w:val="28"/>
          <w:lang w:val="uz-Cyrl-UZ"/>
        </w:rPr>
        <w:t>– Компания по производству оливкового масла была фермерским хозяйством. Эта независимая цель агробизнеса сильна, и все риски, связанные с реализацией инвестиционного проекта и зимней стоянкой, должны соответствовать высоким требованиям и выполнять множество сложных программ;</w:t>
      </w:r>
    </w:p>
    <w:p w:rsidR="00AD341E" w:rsidRPr="00AD341E" w:rsidRDefault="00AD341E" w:rsidP="00AD341E">
      <w:pPr>
        <w:spacing w:after="0" w:line="360" w:lineRule="auto"/>
        <w:ind w:firstLine="720"/>
        <w:jc w:val="both"/>
        <w:rPr>
          <w:kern w:val="0"/>
          <w:szCs w:val="28"/>
          <w:lang w:val="uz-Cyrl-UZ"/>
        </w:rPr>
      </w:pPr>
      <w:r w:rsidRPr="00AD341E">
        <w:rPr>
          <w:kern w:val="0"/>
          <w:szCs w:val="28"/>
          <w:lang w:val="uz-Cyrl-UZ"/>
        </w:rPr>
        <w:t>– покупка недвижимости для сдачи в аренду. Это вариант пассивных и активных инвестиций, но инвесторам, как правило, не требуется регулярный доход. Вы можете сдавать в аренду или арендовать складские помещения;</w:t>
      </w:r>
    </w:p>
    <w:p w:rsidR="00AD341E" w:rsidRPr="00AD341E" w:rsidRDefault="00AD341E" w:rsidP="00AD341E">
      <w:pPr>
        <w:spacing w:after="0" w:line="360" w:lineRule="auto"/>
        <w:ind w:firstLine="720"/>
        <w:jc w:val="both"/>
        <w:rPr>
          <w:kern w:val="0"/>
          <w:szCs w:val="28"/>
          <w:lang w:val="uz-Cyrl-UZ"/>
        </w:rPr>
      </w:pPr>
      <w:r w:rsidRPr="00AD341E">
        <w:rPr>
          <w:kern w:val="0"/>
          <w:szCs w:val="28"/>
          <w:lang w:val="uz-Cyrl-UZ"/>
        </w:rPr>
        <w:t>– трудности с обеспеченными кредитами;</w:t>
      </w:r>
    </w:p>
    <w:p w:rsidR="00AD341E" w:rsidRPr="00AD341E" w:rsidRDefault="00AD341E" w:rsidP="00AD341E">
      <w:pPr>
        <w:spacing w:after="0" w:line="360" w:lineRule="auto"/>
        <w:ind w:firstLine="720"/>
        <w:jc w:val="both"/>
        <w:rPr>
          <w:kern w:val="0"/>
          <w:szCs w:val="28"/>
          <w:lang w:val="uz-Cyrl-UZ"/>
        </w:rPr>
      </w:pPr>
      <w:r w:rsidRPr="00AD341E">
        <w:rPr>
          <w:kern w:val="0"/>
          <w:szCs w:val="28"/>
          <w:lang w:val="uz-Cyrl-UZ"/>
        </w:rPr>
        <w:lastRenderedPageBreak/>
        <w:t>– аренда и покупка сельскохозяйственной техники;</w:t>
      </w:r>
    </w:p>
    <w:p w:rsidR="00AD341E" w:rsidRPr="00AD341E" w:rsidRDefault="00AD341E" w:rsidP="00AD341E">
      <w:pPr>
        <w:spacing w:after="0" w:line="360" w:lineRule="auto"/>
        <w:ind w:firstLine="720"/>
        <w:jc w:val="both"/>
        <w:rPr>
          <w:kern w:val="0"/>
          <w:szCs w:val="28"/>
          <w:lang w:val="uz-Cyrl-UZ"/>
        </w:rPr>
      </w:pPr>
      <w:r w:rsidRPr="00AD341E">
        <w:rPr>
          <w:kern w:val="0"/>
          <w:szCs w:val="28"/>
          <w:lang w:val="uz-Cyrl-UZ"/>
        </w:rPr>
        <w:t>– приобрел акции сельскохозяйственной компании. Акции торгуются на фондовых биржах краткосрочных компаний, их можно покупать и продавать. Инвесторы формируют портфель акций производителей, чья рыночная капитализация выше рыночной.</w:t>
      </w:r>
    </w:p>
    <w:p w:rsidR="00AD341E" w:rsidRPr="00AD341E" w:rsidRDefault="00AD341E" w:rsidP="00AD341E">
      <w:pPr>
        <w:spacing w:after="0" w:line="360" w:lineRule="auto"/>
        <w:ind w:firstLine="720"/>
        <w:jc w:val="both"/>
        <w:rPr>
          <w:kern w:val="0"/>
          <w:szCs w:val="28"/>
          <w:lang w:val="uz-Cyrl-UZ"/>
        </w:rPr>
      </w:pPr>
      <w:r w:rsidRPr="00AD341E">
        <w:rPr>
          <w:kern w:val="0"/>
          <w:szCs w:val="28"/>
          <w:lang w:val="uz-Cyrl-UZ"/>
        </w:rPr>
        <w:t>Эти обязательства (лат.: obligation – обязанность) не включены в инвестиции инвестора. Облигации — это ценные бумаги, которые обеспечивают стоимость по отношению к определенной сумме денег, необходимы для погашения долга и определения прибыли.</w:t>
      </w:r>
    </w:p>
    <w:p w:rsidR="00C05069" w:rsidRPr="00C05069" w:rsidRDefault="00AD341E" w:rsidP="00AD341E">
      <w:pPr>
        <w:spacing w:after="0" w:line="360" w:lineRule="auto"/>
        <w:ind w:firstLine="720"/>
        <w:jc w:val="both"/>
        <w:rPr>
          <w:kern w:val="0"/>
          <w:lang w:val="uz-Cyrl-UZ"/>
        </w:rPr>
      </w:pPr>
      <w:r w:rsidRPr="00AD341E">
        <w:rPr>
          <w:kern w:val="0"/>
          <w:szCs w:val="28"/>
          <w:lang w:val="uz-Cyrl-UZ"/>
        </w:rPr>
        <w:t>Для промышленного сектора устойчивые корпоративные капиталовложения в 2019-2023 годах на 7,5 процентных пункта выше среднего темпа роста экономики, что соответствует позитивной тенденции. Например, анализ стоимости капиталовложений инвесторами с неопределенным диапазоном 2,3 финансового учреждения. Коэффициент производства является характерным фактором капиталовложений в инвестиционном секторе, нефтегазодобывающем секторе, угольной промышленности, электроэнергетике, потреблении газа, на рынке капитала. Можно показать, что за последние пять лет он увеличился примерно в 1,8 раза. По данным корпорации, экономическая активность округа является одним из показателей оценки достаточности капитала для инвестиций.</w:t>
      </w:r>
    </w:p>
    <w:p w:rsidR="00C05069" w:rsidRPr="00C05069" w:rsidRDefault="00C05069" w:rsidP="00C05069">
      <w:pPr>
        <w:spacing w:after="0" w:line="259" w:lineRule="auto"/>
        <w:ind w:firstLine="709"/>
        <w:jc w:val="both"/>
        <w:rPr>
          <w:bCs/>
          <w:color w:val="000000"/>
          <w:kern w:val="0"/>
          <w:szCs w:val="28"/>
          <w:shd w:val="clear" w:color="auto" w:fill="FFFFFF"/>
          <w:lang w:val="uz-Cyrl-UZ"/>
        </w:rPr>
      </w:pPr>
    </w:p>
    <w:p w:rsidR="00AD341E" w:rsidRPr="00AD341E" w:rsidRDefault="00AD341E" w:rsidP="00AD341E">
      <w:pPr>
        <w:spacing w:after="0" w:line="360" w:lineRule="auto"/>
        <w:ind w:firstLine="720"/>
        <w:jc w:val="both"/>
        <w:rPr>
          <w:bCs/>
          <w:color w:val="000000"/>
          <w:kern w:val="0"/>
          <w:szCs w:val="28"/>
          <w:shd w:val="clear" w:color="auto" w:fill="FFFFFF"/>
          <w:lang w:val="uz-Cyrl-UZ"/>
        </w:rPr>
      </w:pPr>
      <w:r w:rsidRPr="00AD341E">
        <w:rPr>
          <w:bCs/>
          <w:color w:val="000000"/>
          <w:kern w:val="0"/>
          <w:szCs w:val="28"/>
          <w:shd w:val="clear" w:color="auto" w:fill="FFFFFF"/>
          <w:lang w:val="uz-Cyrl-UZ"/>
        </w:rPr>
        <w:t xml:space="preserve">Капитальные инвестиции Ассоциации в сфере промышленного развития включают сельскохозяйственные кооперативы, дорожное строительство, механическое оборудование, инфраструктуру, уборочную технику, транспортное оборудование, транспортную технику. Запасы, хранение и закупка постоянных запасов, капитальные затраты и требования к инновациям превышают ожидания. Это эффективный инвестиционный фонд для сельскохозяйственного сектора, обеспечивающий эффективность инвестиций в сельское хозяйство, прибыльность фермеров. Инвестиционная льгота из производственных мощностей в секторе. Эффективным решением этой </w:t>
      </w:r>
      <w:r w:rsidRPr="00AD341E">
        <w:rPr>
          <w:bCs/>
          <w:color w:val="000000"/>
          <w:kern w:val="0"/>
          <w:szCs w:val="28"/>
          <w:shd w:val="clear" w:color="auto" w:fill="FFFFFF"/>
          <w:lang w:val="uz-Cyrl-UZ"/>
        </w:rPr>
        <w:lastRenderedPageBreak/>
        <w:t>проблемы в сельскохозяйственном секторе является ненадлежащий учет доходов от лизинга.</w:t>
      </w:r>
    </w:p>
    <w:p w:rsidR="00C612D4" w:rsidRDefault="00AD341E" w:rsidP="00AD341E">
      <w:pPr>
        <w:spacing w:after="0" w:line="360" w:lineRule="auto"/>
        <w:ind w:firstLine="720"/>
        <w:jc w:val="both"/>
        <w:rPr>
          <w:rFonts w:eastAsia="Times New Roman"/>
          <w:kern w:val="0"/>
          <w:szCs w:val="28"/>
          <w:lang w:val="uz-Cyrl-UZ"/>
        </w:rPr>
      </w:pPr>
      <w:r w:rsidRPr="00AD341E">
        <w:rPr>
          <w:bCs/>
          <w:color w:val="000000"/>
          <w:kern w:val="0"/>
          <w:szCs w:val="28"/>
          <w:shd w:val="clear" w:color="auto" w:fill="FFFFFF"/>
          <w:lang w:val="uz-Cyrl-UZ"/>
        </w:rPr>
        <w:t xml:space="preserve">Стоит отметить, что дефицит капитала в сельском хозяйстве по-прежнему высок. Относительно небольшой рост производства в этом секторе в основном обусловлен очень дешевой рабочей силой. Однако основатель (государства) давно приводил экономические причины для снижения производства оливкового масла в стране. Качественное инвестиционное объединение призвано обеспечить, чтобы реальная стоимость капиталовложений кооперативов была кредитоспособной, а также снизить риск задолженности </w:t>
      </w:r>
      <w:r w:rsidR="00C05069" w:rsidRPr="00C05069">
        <w:rPr>
          <w:rFonts w:eastAsia="Times New Roman"/>
          <w:kern w:val="0"/>
          <w:szCs w:val="28"/>
          <w:lang w:val="uz-Cyrl-UZ"/>
        </w:rPr>
        <w:t>.</w:t>
      </w:r>
    </w:p>
    <w:p w:rsidR="00AD341E" w:rsidRDefault="00AD341E" w:rsidP="0063404E">
      <w:pPr>
        <w:spacing w:after="0" w:line="360" w:lineRule="auto"/>
        <w:jc w:val="center"/>
        <w:rPr>
          <w:rFonts w:eastAsia="Times New Roman"/>
          <w:b/>
          <w:kern w:val="0"/>
          <w:szCs w:val="28"/>
          <w:lang w:val="uz-Cyrl-UZ"/>
        </w:rPr>
      </w:pPr>
    </w:p>
    <w:p w:rsidR="0063404E" w:rsidRPr="009249CD" w:rsidRDefault="0063404E" w:rsidP="0063404E">
      <w:pPr>
        <w:spacing w:after="0" w:line="360" w:lineRule="auto"/>
        <w:jc w:val="center"/>
        <w:rPr>
          <w:rFonts w:eastAsia="Times New Roman"/>
          <w:b/>
          <w:kern w:val="0"/>
          <w:szCs w:val="28"/>
          <w:lang w:val="uz-Cyrl-UZ"/>
        </w:rPr>
      </w:pPr>
      <w:r w:rsidRPr="003D353C">
        <w:rPr>
          <w:rFonts w:eastAsia="Times New Roman"/>
          <w:b/>
          <w:kern w:val="0"/>
          <w:szCs w:val="28"/>
          <w:lang w:val="uz-Cyrl-UZ"/>
        </w:rPr>
        <w:t>Выводы по второй главе</w:t>
      </w:r>
    </w:p>
    <w:p w:rsidR="00AD341E" w:rsidRPr="00AD341E" w:rsidRDefault="00AD341E" w:rsidP="00AD341E">
      <w:pPr>
        <w:spacing w:after="0" w:line="360" w:lineRule="auto"/>
        <w:ind w:firstLine="709"/>
        <w:jc w:val="both"/>
        <w:rPr>
          <w:bCs/>
          <w:kern w:val="0"/>
          <w:szCs w:val="28"/>
          <w:lang w:val="uz-Cyrl-UZ"/>
        </w:rPr>
      </w:pPr>
      <w:r w:rsidRPr="00AD341E">
        <w:rPr>
          <w:bCs/>
          <w:kern w:val="0"/>
          <w:szCs w:val="28"/>
          <w:lang w:val="uz-Cyrl-UZ"/>
        </w:rPr>
        <w:t>Приоритеты инвестиций в сельское хозяйство Узбекистана ограничены, и существует необходимость в инвестировании в сельскохозяйственную продукцию. Необходимо диверсифицировать капиталистическую политику, особенно в части инвестиционной привлекательности, условий банковского кредитования в Великобритании, государственного долга и прозрачности. По его словам, сложность агропромышленного комплекса создала основу для развития современных технологий и научно обоснованных структур, обеспечивающих устойчивый рост.</w:t>
      </w:r>
    </w:p>
    <w:p w:rsidR="00AD341E" w:rsidRPr="00AD341E" w:rsidRDefault="00AD341E" w:rsidP="00AD341E">
      <w:pPr>
        <w:spacing w:after="0" w:line="360" w:lineRule="auto"/>
        <w:ind w:firstLine="709"/>
        <w:jc w:val="both"/>
        <w:rPr>
          <w:bCs/>
          <w:kern w:val="0"/>
          <w:szCs w:val="28"/>
          <w:lang w:val="uz-Cyrl-UZ"/>
        </w:rPr>
      </w:pPr>
      <w:r w:rsidRPr="00AD341E">
        <w:rPr>
          <w:bCs/>
          <w:kern w:val="0"/>
          <w:szCs w:val="28"/>
          <w:lang w:val="uz-Cyrl-UZ"/>
        </w:rPr>
        <w:t>Для определения результатов реализации инвестиционных приоритетов в агропромышленном секторе необходимо проанализировать и оценить инвестиционные приоритеты в этой области. В настоящее время механизмы организационного развития, включая скоординированное развитие, институциональное и экономическое развитие, относительно фрагментированы.</w:t>
      </w:r>
    </w:p>
    <w:p w:rsidR="00AD341E" w:rsidRPr="00AD341E" w:rsidRDefault="00AD341E" w:rsidP="00AD341E">
      <w:pPr>
        <w:spacing w:after="0" w:line="360" w:lineRule="auto"/>
        <w:ind w:firstLine="709"/>
        <w:jc w:val="both"/>
        <w:rPr>
          <w:bCs/>
          <w:kern w:val="0"/>
          <w:szCs w:val="28"/>
          <w:lang w:val="uz-Cyrl-UZ"/>
        </w:rPr>
      </w:pPr>
      <w:r w:rsidRPr="00AD341E">
        <w:rPr>
          <w:bCs/>
          <w:kern w:val="0"/>
          <w:szCs w:val="28"/>
          <w:lang w:val="uz-Cyrl-UZ"/>
        </w:rPr>
        <w:t xml:space="preserve">Во-первых, правительственные чиновники одобрили выделение грантов из основного государственного бюджета, кредитов государственного банка и донорских программ. Однако эти источники, точность, достаточность золота для малых и средних фермерских хозяйств, их инвестиции и благосостояние </w:t>
      </w:r>
      <w:r w:rsidRPr="00AD341E">
        <w:rPr>
          <w:bCs/>
          <w:kern w:val="0"/>
          <w:szCs w:val="28"/>
          <w:lang w:val="uz-Cyrl-UZ"/>
        </w:rPr>
        <w:lastRenderedPageBreak/>
        <w:t>кооперативов в случае оценки финансовых ресурсов экономики производства. Анализ банковского кредита с точки зрения процентных ставок, жесткого долга и кредитной инфраструктуры существенно влияют на эффективность реформ.</w:t>
      </w:r>
    </w:p>
    <w:p w:rsidR="00AD341E" w:rsidRPr="00AD341E" w:rsidRDefault="00AD341E" w:rsidP="00AD341E">
      <w:pPr>
        <w:spacing w:after="0" w:line="360" w:lineRule="auto"/>
        <w:ind w:firstLine="709"/>
        <w:jc w:val="both"/>
        <w:rPr>
          <w:bCs/>
          <w:kern w:val="0"/>
          <w:szCs w:val="28"/>
          <w:lang w:val="uz-Cyrl-UZ"/>
        </w:rPr>
      </w:pPr>
      <w:r w:rsidRPr="00AD341E">
        <w:rPr>
          <w:bCs/>
          <w:kern w:val="0"/>
          <w:szCs w:val="28"/>
          <w:lang w:val="uz-Cyrl-UZ"/>
        </w:rPr>
        <w:t>Однако существует государственная политика, требующая субсидий и усовершенствованных кредитных механизмов для поощрения эффективной работы. Бюрократические преобразования, информационная асимметрия и национализация государственных учреждений не имеют отношения к целям исследования и анализу оценки. Кроме того, основатель инвестиционного фонда аграрной компании Кришна Чеклаб является основателем компании Bu Amil Susii.</w:t>
      </w:r>
    </w:p>
    <w:p w:rsidR="00AD341E" w:rsidRPr="00AD341E" w:rsidRDefault="00AD341E" w:rsidP="00AD341E">
      <w:pPr>
        <w:spacing w:after="0" w:line="360" w:lineRule="auto"/>
        <w:ind w:firstLine="709"/>
        <w:jc w:val="both"/>
        <w:rPr>
          <w:bCs/>
          <w:kern w:val="0"/>
          <w:szCs w:val="28"/>
          <w:lang w:val="uz-Cyrl-UZ"/>
        </w:rPr>
      </w:pPr>
      <w:r w:rsidRPr="00AD341E">
        <w:rPr>
          <w:bCs/>
          <w:kern w:val="0"/>
          <w:szCs w:val="28"/>
          <w:lang w:val="uz-Cyrl-UZ"/>
        </w:rPr>
        <w:t>Оливковая ветвь в поддержку привлекательности сельскохозяйственных инвестиций не до конца понятна тенденциям экономического и финансового развития, рыночным условиям в Узбекистане, ценам и условиям на золото. Российских инвесторов беспокоит инвестиционный риск, связанный с сильным сочетанием профессиональных предложений, призванных удовлетворить потребности инвесторов, что характерно для темпов реализации кировчинских инвестиций и исключения последних из них.</w:t>
      </w:r>
    </w:p>
    <w:p w:rsidR="00017D7A" w:rsidRPr="00E46DF0" w:rsidRDefault="00AD341E" w:rsidP="00AD341E">
      <w:pPr>
        <w:spacing w:after="0" w:line="360" w:lineRule="auto"/>
        <w:ind w:firstLine="709"/>
        <w:jc w:val="both"/>
        <w:rPr>
          <w:bCs/>
          <w:kern w:val="0"/>
          <w:szCs w:val="28"/>
          <w:lang w:val="uz-Cyrl-UZ"/>
        </w:rPr>
      </w:pPr>
      <w:r w:rsidRPr="00AD341E">
        <w:rPr>
          <w:bCs/>
          <w:kern w:val="0"/>
          <w:szCs w:val="28"/>
          <w:lang w:val="uz-Cyrl-UZ"/>
        </w:rPr>
        <w:t>Сельскохозяйственный сектор Узбекистана представляет собой сильную индустриальную экономику с благоприятными институциональными условиями для привлечения иностранных инвестиций в политическом, инфраструктурном, правовом и финансовом аспектах социального развития. Инвесторы считают сочетание богатства и бедности, сильную социально-экономическую среду и развивающийся инфраструктурный сектор одним из важнейших факторов.</w:t>
      </w:r>
    </w:p>
    <w:p w:rsidR="003D353C" w:rsidRPr="00E46DF0" w:rsidRDefault="003D353C" w:rsidP="00AC6CEE">
      <w:pPr>
        <w:spacing w:after="0" w:line="360" w:lineRule="auto"/>
        <w:ind w:firstLine="709"/>
        <w:jc w:val="both"/>
        <w:rPr>
          <w:bCs/>
          <w:kern w:val="0"/>
          <w:szCs w:val="28"/>
          <w:lang w:val="uz-Cyrl-UZ"/>
        </w:rPr>
      </w:pPr>
    </w:p>
    <w:p w:rsidR="003D353C" w:rsidRPr="00E46DF0" w:rsidRDefault="003D353C" w:rsidP="00AC6CEE">
      <w:pPr>
        <w:spacing w:after="0" w:line="360" w:lineRule="auto"/>
        <w:ind w:firstLine="709"/>
        <w:jc w:val="both"/>
        <w:rPr>
          <w:bCs/>
          <w:kern w:val="0"/>
          <w:szCs w:val="28"/>
          <w:lang w:val="uz-Cyrl-UZ"/>
        </w:rPr>
      </w:pPr>
    </w:p>
    <w:p w:rsidR="003D353C" w:rsidRPr="00E46DF0" w:rsidRDefault="003D353C" w:rsidP="00AC6CEE">
      <w:pPr>
        <w:spacing w:after="0" w:line="360" w:lineRule="auto"/>
        <w:ind w:firstLine="709"/>
        <w:jc w:val="both"/>
        <w:rPr>
          <w:bCs/>
          <w:kern w:val="0"/>
          <w:szCs w:val="28"/>
          <w:lang w:val="uz-Cyrl-UZ"/>
        </w:rPr>
      </w:pPr>
    </w:p>
    <w:p w:rsidR="003D353C" w:rsidRPr="00E46DF0" w:rsidRDefault="003D353C" w:rsidP="00AC6CEE">
      <w:pPr>
        <w:spacing w:after="0" w:line="360" w:lineRule="auto"/>
        <w:ind w:firstLine="709"/>
        <w:jc w:val="both"/>
        <w:rPr>
          <w:bCs/>
          <w:kern w:val="0"/>
          <w:szCs w:val="28"/>
          <w:lang w:val="uz-Cyrl-UZ"/>
        </w:rPr>
      </w:pPr>
    </w:p>
    <w:p w:rsidR="003D353C" w:rsidRPr="00E46DF0" w:rsidRDefault="003D353C" w:rsidP="00AC6CEE">
      <w:pPr>
        <w:spacing w:after="0" w:line="360" w:lineRule="auto"/>
        <w:ind w:firstLine="709"/>
        <w:jc w:val="both"/>
        <w:rPr>
          <w:bCs/>
          <w:kern w:val="0"/>
          <w:szCs w:val="28"/>
          <w:lang w:val="uz-Cyrl-UZ"/>
        </w:rPr>
      </w:pPr>
    </w:p>
    <w:p w:rsidR="003D353C" w:rsidRPr="00E46DF0" w:rsidRDefault="003D353C" w:rsidP="00AC6CEE">
      <w:pPr>
        <w:spacing w:after="0" w:line="360" w:lineRule="auto"/>
        <w:ind w:firstLine="709"/>
        <w:jc w:val="both"/>
        <w:rPr>
          <w:bCs/>
          <w:kern w:val="0"/>
          <w:szCs w:val="28"/>
          <w:lang w:val="uz-Cyrl-UZ"/>
        </w:rPr>
      </w:pPr>
    </w:p>
    <w:p w:rsidR="003D353C" w:rsidRPr="00E46DF0" w:rsidRDefault="003D353C" w:rsidP="00AC6CEE">
      <w:pPr>
        <w:spacing w:after="0" w:line="360" w:lineRule="auto"/>
        <w:ind w:firstLine="709"/>
        <w:jc w:val="both"/>
        <w:rPr>
          <w:bCs/>
          <w:kern w:val="0"/>
          <w:szCs w:val="28"/>
          <w:lang w:val="uz-Cyrl-UZ"/>
        </w:rPr>
      </w:pPr>
    </w:p>
    <w:p w:rsidR="003D353C" w:rsidRPr="00E46DF0" w:rsidRDefault="003D353C" w:rsidP="00AC6CEE">
      <w:pPr>
        <w:spacing w:after="0" w:line="360" w:lineRule="auto"/>
        <w:ind w:firstLine="709"/>
        <w:jc w:val="both"/>
        <w:rPr>
          <w:bCs/>
          <w:kern w:val="0"/>
          <w:szCs w:val="28"/>
          <w:lang w:val="uz-Cyrl-UZ"/>
        </w:rPr>
      </w:pPr>
    </w:p>
    <w:p w:rsidR="003D353C" w:rsidRPr="00E46DF0" w:rsidRDefault="003D353C" w:rsidP="00AC6CEE">
      <w:pPr>
        <w:spacing w:after="0" w:line="360" w:lineRule="auto"/>
        <w:ind w:firstLine="709"/>
        <w:jc w:val="both"/>
        <w:rPr>
          <w:bCs/>
          <w:kern w:val="0"/>
          <w:szCs w:val="28"/>
          <w:lang w:val="uz-Cyrl-UZ"/>
        </w:rPr>
      </w:pPr>
    </w:p>
    <w:p w:rsidR="003D353C" w:rsidRPr="00E46DF0" w:rsidRDefault="003D353C" w:rsidP="00AC6CEE">
      <w:pPr>
        <w:spacing w:after="0" w:line="360" w:lineRule="auto"/>
        <w:ind w:firstLine="709"/>
        <w:jc w:val="both"/>
        <w:rPr>
          <w:bCs/>
          <w:kern w:val="0"/>
          <w:szCs w:val="28"/>
          <w:lang w:val="uz-Cyrl-UZ"/>
        </w:rPr>
      </w:pPr>
    </w:p>
    <w:p w:rsidR="003D353C" w:rsidRPr="00E46DF0" w:rsidRDefault="003D353C" w:rsidP="00AC6CEE">
      <w:pPr>
        <w:spacing w:after="0" w:line="360" w:lineRule="auto"/>
        <w:ind w:firstLine="709"/>
        <w:jc w:val="both"/>
        <w:rPr>
          <w:bCs/>
          <w:kern w:val="0"/>
          <w:szCs w:val="28"/>
          <w:lang w:val="uz-Cyrl-UZ"/>
        </w:rPr>
      </w:pPr>
    </w:p>
    <w:p w:rsidR="003D353C" w:rsidRPr="00E46DF0" w:rsidRDefault="003D353C" w:rsidP="00AC6CEE">
      <w:pPr>
        <w:spacing w:after="0" w:line="360" w:lineRule="auto"/>
        <w:ind w:firstLine="709"/>
        <w:jc w:val="both"/>
        <w:rPr>
          <w:bCs/>
          <w:kern w:val="0"/>
          <w:szCs w:val="28"/>
          <w:lang w:val="uz-Cyrl-UZ"/>
        </w:rPr>
      </w:pPr>
    </w:p>
    <w:p w:rsidR="003D353C" w:rsidRPr="00DF774B" w:rsidRDefault="008F2BEA" w:rsidP="003D353C">
      <w:pPr>
        <w:tabs>
          <w:tab w:val="left" w:pos="2552"/>
        </w:tabs>
        <w:spacing w:after="0" w:line="360" w:lineRule="auto"/>
        <w:jc w:val="center"/>
        <w:rPr>
          <w:b/>
          <w:kern w:val="0"/>
          <w:szCs w:val="28"/>
          <w:lang w:val="ru-RU"/>
        </w:rPr>
      </w:pPr>
      <w:r>
        <w:rPr>
          <w:b/>
          <w:kern w:val="0"/>
          <w:szCs w:val="28"/>
          <w:lang w:val="uz-Cyrl-UZ"/>
        </w:rPr>
        <w:br w:type="page"/>
      </w:r>
      <w:r w:rsidR="003D353C" w:rsidRPr="003D353C">
        <w:rPr>
          <w:b/>
          <w:kern w:val="0"/>
          <w:szCs w:val="28"/>
          <w:lang w:val="uz-Cyrl-UZ"/>
        </w:rPr>
        <w:lastRenderedPageBreak/>
        <w:t>ГЛАВА III. НАПРАВЛЕНИЯ ПОВЫШЕНИЯ ПРИВЛЕЧЕНИЯ ИНВЕСТИЦИЙ В СЕЛЬСКОХОЗЯЙСТВЕННЫЙ СЕКТОР</w:t>
      </w:r>
    </w:p>
    <w:p w:rsidR="003D353C" w:rsidRPr="00DF774B" w:rsidRDefault="003D353C" w:rsidP="003D353C">
      <w:pPr>
        <w:spacing w:after="0" w:line="360" w:lineRule="auto"/>
        <w:ind w:firstLine="709"/>
        <w:jc w:val="center"/>
        <w:rPr>
          <w:b/>
          <w:kern w:val="0"/>
          <w:szCs w:val="28"/>
          <w:lang w:val="ru-RU"/>
        </w:rPr>
      </w:pPr>
      <w:r w:rsidRPr="003D353C">
        <w:rPr>
          <w:b/>
          <w:kern w:val="0"/>
          <w:szCs w:val="28"/>
          <w:lang w:val="uz-Cyrl-UZ"/>
        </w:rPr>
        <w:t>§ 3.1 Существующие проблемы привлечения инвестиций в сельскохозяйственный сектор и пути их преодоления</w:t>
      </w:r>
    </w:p>
    <w:p w:rsidR="00AD341E" w:rsidRPr="00DF774B" w:rsidRDefault="00AD341E" w:rsidP="00AD341E">
      <w:pPr>
        <w:spacing w:after="0" w:line="360" w:lineRule="auto"/>
        <w:ind w:firstLine="720"/>
        <w:jc w:val="both"/>
        <w:rPr>
          <w:rFonts w:eastAsia="Times New Roman"/>
          <w:kern w:val="0"/>
          <w:szCs w:val="24"/>
          <w:lang w:val="ru-RU" w:eastAsia="ru-RU"/>
        </w:rPr>
      </w:pPr>
      <w:r w:rsidRPr="00DF774B">
        <w:rPr>
          <w:rFonts w:eastAsia="Times New Roman"/>
          <w:kern w:val="0"/>
          <w:szCs w:val="24"/>
          <w:lang w:val="ru-RU" w:eastAsia="ru-RU"/>
        </w:rPr>
        <w:t>Критерии привлечения иностранных инвестиций, направленные на экономический рост страны, абсолютно необходимы для обеспечения роста сельскохозяйственного производства за счет иностранных инвестиций в долгосрочном секторе. За четверть века продемонстрирована приоритетная роль твердой ориентации на нестабильную динамику. Исследования инвесторов в экономике либерального Востока и государственных агронациональных предприятий связаны с масштабными мерами стимулирования в рамках развития.</w:t>
      </w:r>
    </w:p>
    <w:p w:rsidR="00AD341E" w:rsidRPr="00DF774B" w:rsidRDefault="00AD341E" w:rsidP="00AD341E">
      <w:pPr>
        <w:spacing w:after="0" w:line="360" w:lineRule="auto"/>
        <w:ind w:firstLine="720"/>
        <w:jc w:val="both"/>
        <w:rPr>
          <w:rFonts w:eastAsia="Times New Roman"/>
          <w:kern w:val="0"/>
          <w:szCs w:val="24"/>
          <w:lang w:val="ru-RU" w:eastAsia="ru-RU"/>
        </w:rPr>
      </w:pPr>
      <w:r w:rsidRPr="00DF774B">
        <w:rPr>
          <w:rFonts w:eastAsia="Times New Roman"/>
          <w:kern w:val="0"/>
          <w:szCs w:val="24"/>
          <w:lang w:val="ru-RU" w:eastAsia="ru-RU"/>
        </w:rPr>
        <w:t>В Бринчидане сельскохозяйственный сектор значительно улучшил промышленное и сельскохозяйственное развитие, повысив рентабельность сельского хозяйства в экономике.</w:t>
      </w:r>
    </w:p>
    <w:p w:rsidR="00AD341E" w:rsidRPr="00DF774B" w:rsidRDefault="00AD341E" w:rsidP="00AD341E">
      <w:pPr>
        <w:spacing w:after="0" w:line="360" w:lineRule="auto"/>
        <w:ind w:firstLine="720"/>
        <w:jc w:val="both"/>
        <w:rPr>
          <w:rFonts w:eastAsia="Times New Roman"/>
          <w:kern w:val="0"/>
          <w:szCs w:val="24"/>
          <w:lang w:val="ru-RU" w:eastAsia="ru-RU"/>
        </w:rPr>
      </w:pPr>
      <w:r w:rsidRPr="00DF774B">
        <w:rPr>
          <w:rFonts w:eastAsia="Times New Roman"/>
          <w:kern w:val="0"/>
          <w:szCs w:val="24"/>
          <w:lang w:val="ru-RU" w:eastAsia="ru-RU"/>
        </w:rPr>
        <w:t>Во-вторых, серьезной проблемой является монополия на внутреннем рынке сельскохозяйственных производственных объединений, созданных государственными органами по сельскохозяйственному производству, в рамках которой используются дорогостоящие механизмы для ограничения потенциала выхода на рынок, и это приводит к следующим результатам.</w:t>
      </w:r>
    </w:p>
    <w:p w:rsidR="00AD341E" w:rsidRPr="00DF774B" w:rsidRDefault="00AD341E" w:rsidP="00AD341E">
      <w:pPr>
        <w:spacing w:after="0" w:line="360" w:lineRule="auto"/>
        <w:ind w:firstLine="720"/>
        <w:jc w:val="both"/>
        <w:rPr>
          <w:rFonts w:eastAsia="Times New Roman"/>
          <w:kern w:val="0"/>
          <w:szCs w:val="24"/>
          <w:lang w:val="ru-RU" w:eastAsia="ru-RU"/>
        </w:rPr>
      </w:pPr>
      <w:r w:rsidRPr="00DF774B">
        <w:rPr>
          <w:rFonts w:eastAsia="Times New Roman"/>
          <w:kern w:val="0"/>
          <w:szCs w:val="24"/>
          <w:lang w:val="ru-RU" w:eastAsia="ru-RU"/>
        </w:rPr>
        <w:t>В-третьих, Сельскохозяйственная ассоциация Узбекистана привлекает иностранные инвестиции для развития сельскохозяйственной, логистической и энергетической инфраструктуры страны. Она является партнером по профессиональной подготовке, менеджером по исследованиям и передовым платежным продуктам, а также генеральным инвестиционным менеджером в отрасли производства оливкового масла.</w:t>
      </w:r>
    </w:p>
    <w:p w:rsidR="003D353C" w:rsidRPr="003D353C" w:rsidRDefault="00AD341E" w:rsidP="00AD341E">
      <w:pPr>
        <w:spacing w:after="0" w:line="360" w:lineRule="auto"/>
        <w:ind w:firstLine="720"/>
        <w:jc w:val="both"/>
        <w:rPr>
          <w:rFonts w:eastAsia="Times New Roman"/>
          <w:kern w:val="0"/>
          <w:szCs w:val="24"/>
          <w:lang w:val="uz-Cyrl-UZ" w:eastAsia="ru-RU"/>
        </w:rPr>
      </w:pPr>
      <w:r w:rsidRPr="00DF774B">
        <w:rPr>
          <w:rFonts w:eastAsia="Times New Roman"/>
          <w:kern w:val="0"/>
          <w:szCs w:val="24"/>
          <w:lang w:val="ru-RU" w:eastAsia="ru-RU"/>
        </w:rPr>
        <w:t xml:space="preserve">Стоит отметить, что «в связи с развитием инфраструктурных технологий возникает необходимость усиления потребностей развивающихся рынков и подготовки качественно суверенного потенциала для мониторинга изменений </w:t>
      </w:r>
      <w:r w:rsidRPr="00DF774B">
        <w:rPr>
          <w:rFonts w:eastAsia="Times New Roman"/>
          <w:kern w:val="0"/>
          <w:szCs w:val="24"/>
          <w:lang w:val="ru-RU" w:eastAsia="ru-RU"/>
        </w:rPr>
        <w:lastRenderedPageBreak/>
        <w:t xml:space="preserve">с учетом темпов производства фруктов и овощей в 25-30 раз </w:t>
      </w:r>
      <w:r w:rsidR="003D353C" w:rsidRPr="003D353C">
        <w:rPr>
          <w:rFonts w:eastAsia="Times New Roman"/>
          <w:kern w:val="0"/>
          <w:szCs w:val="24"/>
          <w:vertAlign w:val="superscript"/>
          <w:lang w:val="uz-Cyrl-UZ" w:eastAsia="ru-RU"/>
        </w:rPr>
        <w:footnoteReference w:id="57"/>
      </w:r>
      <w:r w:rsidR="003D353C" w:rsidRPr="003D353C">
        <w:rPr>
          <w:rFonts w:eastAsia="Times New Roman"/>
          <w:kern w:val="0"/>
          <w:szCs w:val="24"/>
          <w:lang w:val="uz-Cyrl-UZ" w:eastAsia="ru-RU"/>
        </w:rPr>
        <w:t>». Это негативно сказывается на окупаемости иностранных инвестиций, привлекаемых в аграрный сектор , и резко снижает их эффективность. Кроме того, моральное и физическое устаревание системы электро- и водоснабжения увеличивает инвестиционные издержки потенциальных инвесторов в агробизнес Узбекистана и снижает рентабельность бизнеса.</w:t>
      </w:r>
    </w:p>
    <w:p w:rsidR="003D353C" w:rsidRPr="003D353C" w:rsidRDefault="003D353C" w:rsidP="003D353C">
      <w:pPr>
        <w:spacing w:after="0" w:line="360" w:lineRule="auto"/>
        <w:ind w:firstLine="720"/>
        <w:jc w:val="both"/>
        <w:rPr>
          <w:rFonts w:eastAsia="Times New Roman"/>
          <w:kern w:val="0"/>
          <w:szCs w:val="24"/>
          <w:lang w:val="uz-Cyrl-UZ" w:eastAsia="ru-RU"/>
        </w:rPr>
      </w:pPr>
      <w:r w:rsidRPr="003D353C">
        <w:rPr>
          <w:rFonts w:eastAsia="Times New Roman"/>
          <w:kern w:val="0"/>
          <w:szCs w:val="24"/>
          <w:lang w:val="uz-Cyrl-UZ" w:eastAsia="ru-RU"/>
        </w:rPr>
        <w:t>Согласно результатам исследования, следует выделить следующие факторы и проблемы в секторе, негативно влияющие на привлечение иностранных инвестиций в аграрный сектор:</w:t>
      </w:r>
    </w:p>
    <w:p w:rsidR="003D353C" w:rsidRPr="003D353C" w:rsidRDefault="003D353C" w:rsidP="00064A36">
      <w:pPr>
        <w:numPr>
          <w:ilvl w:val="0"/>
          <w:numId w:val="6"/>
        </w:numPr>
        <w:tabs>
          <w:tab w:val="left" w:pos="993"/>
        </w:tabs>
        <w:spacing w:after="0" w:line="360" w:lineRule="auto"/>
        <w:ind w:left="0" w:firstLine="720"/>
        <w:jc w:val="both"/>
        <w:rPr>
          <w:rFonts w:eastAsia="Times New Roman"/>
          <w:kern w:val="0"/>
          <w:szCs w:val="24"/>
          <w:lang w:val="uz-Cyrl-UZ" w:eastAsia="ru-RU"/>
        </w:rPr>
      </w:pPr>
      <w:r w:rsidRPr="003D353C">
        <w:rPr>
          <w:rFonts w:eastAsia="Times New Roman"/>
          <w:kern w:val="0"/>
          <w:szCs w:val="24"/>
          <w:lang w:val="uz-Cyrl-UZ" w:eastAsia="ru-RU"/>
        </w:rPr>
        <w:t xml:space="preserve">моральное и физическое устаревание сельскохозяйственной техники, технологий и оборудования («65 процентов парка сельскохозяйственной техники морально и физически устарели», «в составе основных производственных фондов в сельском хозяйстве довольно велика доля зданий и сооружений (30,3 процента), машин и оборудования (25,2 процента) и трудового скота (24,8 процента), в то время как на транспортные средства приходится всего 7,0 процента») </w:t>
      </w:r>
      <w:r w:rsidRPr="003D353C">
        <w:rPr>
          <w:rFonts w:eastAsia="Times New Roman"/>
          <w:kern w:val="0"/>
          <w:szCs w:val="28"/>
          <w:vertAlign w:val="superscript"/>
          <w:lang w:eastAsia="ru-RU"/>
        </w:rPr>
        <w:footnoteReference w:id="58"/>
      </w:r>
      <w:r w:rsidRPr="003D353C">
        <w:rPr>
          <w:rFonts w:eastAsia="Times New Roman"/>
          <w:kern w:val="0"/>
          <w:szCs w:val="24"/>
          <w:lang w:val="uz-Cyrl-UZ" w:eastAsia="ru-RU"/>
        </w:rPr>
        <w:t>;</w:t>
      </w:r>
    </w:p>
    <w:p w:rsidR="003D353C" w:rsidRPr="003D353C" w:rsidRDefault="003D353C" w:rsidP="00064A36">
      <w:pPr>
        <w:numPr>
          <w:ilvl w:val="0"/>
          <w:numId w:val="6"/>
        </w:numPr>
        <w:tabs>
          <w:tab w:val="left" w:pos="993"/>
        </w:tabs>
        <w:spacing w:after="0" w:line="360" w:lineRule="auto"/>
        <w:ind w:left="0" w:firstLine="720"/>
        <w:jc w:val="both"/>
        <w:rPr>
          <w:rFonts w:eastAsia="Times New Roman"/>
          <w:kern w:val="0"/>
          <w:szCs w:val="24"/>
          <w:lang w:val="uz-Cyrl-UZ" w:eastAsia="ru-RU"/>
        </w:rPr>
      </w:pPr>
      <w:r w:rsidRPr="003D353C">
        <w:rPr>
          <w:rFonts w:eastAsia="Times New Roman"/>
          <w:kern w:val="0"/>
          <w:szCs w:val="24"/>
          <w:lang w:val="uz-Cyrl-UZ" w:eastAsia="ru-RU"/>
        </w:rPr>
        <w:t>нехватка ресурсов для финансирования основных фондов в сельском хозяйстве;</w:t>
      </w:r>
    </w:p>
    <w:p w:rsidR="003D353C" w:rsidRPr="003D353C" w:rsidRDefault="003D353C" w:rsidP="00064A36">
      <w:pPr>
        <w:numPr>
          <w:ilvl w:val="0"/>
          <w:numId w:val="6"/>
        </w:numPr>
        <w:tabs>
          <w:tab w:val="left" w:pos="993"/>
        </w:tabs>
        <w:spacing w:after="0" w:line="360" w:lineRule="auto"/>
        <w:ind w:left="0" w:firstLine="720"/>
        <w:jc w:val="both"/>
        <w:rPr>
          <w:rFonts w:eastAsia="Times New Roman"/>
          <w:kern w:val="0"/>
          <w:szCs w:val="24"/>
          <w:lang w:val="uz-Cyrl-UZ" w:eastAsia="ru-RU"/>
        </w:rPr>
      </w:pPr>
      <w:r w:rsidRPr="003D353C">
        <w:rPr>
          <w:rFonts w:eastAsia="Times New Roman"/>
          <w:kern w:val="0"/>
          <w:szCs w:val="24"/>
          <w:lang w:val="uz-Cyrl-UZ" w:eastAsia="ru-RU"/>
        </w:rPr>
        <w:t>нехватка сельскохозяйственного сырья, его низкое качество для промышленной переработки;</w:t>
      </w:r>
    </w:p>
    <w:p w:rsidR="003D353C" w:rsidRPr="003D353C" w:rsidRDefault="003D353C" w:rsidP="00064A36">
      <w:pPr>
        <w:numPr>
          <w:ilvl w:val="0"/>
          <w:numId w:val="6"/>
        </w:numPr>
        <w:tabs>
          <w:tab w:val="left" w:pos="993"/>
        </w:tabs>
        <w:spacing w:after="0" w:line="360" w:lineRule="auto"/>
        <w:ind w:left="0" w:firstLine="720"/>
        <w:jc w:val="both"/>
        <w:rPr>
          <w:rFonts w:eastAsia="Times New Roman"/>
          <w:kern w:val="0"/>
          <w:szCs w:val="24"/>
          <w:lang w:val="uz-Cyrl-UZ" w:eastAsia="ru-RU"/>
        </w:rPr>
      </w:pPr>
      <w:r w:rsidRPr="003D353C">
        <w:rPr>
          <w:rFonts w:eastAsia="Times New Roman"/>
          <w:kern w:val="0"/>
          <w:szCs w:val="24"/>
          <w:lang w:val="uz-Cyrl-UZ" w:eastAsia="ru-RU"/>
        </w:rPr>
        <w:t>недостаток производственных мощностей;</w:t>
      </w:r>
    </w:p>
    <w:p w:rsidR="003D353C" w:rsidRPr="003D353C" w:rsidRDefault="003D353C" w:rsidP="00064A36">
      <w:pPr>
        <w:numPr>
          <w:ilvl w:val="0"/>
          <w:numId w:val="6"/>
        </w:numPr>
        <w:tabs>
          <w:tab w:val="left" w:pos="993"/>
        </w:tabs>
        <w:spacing w:after="0" w:line="360" w:lineRule="auto"/>
        <w:ind w:left="0" w:firstLine="720"/>
        <w:jc w:val="both"/>
        <w:rPr>
          <w:rFonts w:eastAsia="Times New Roman"/>
          <w:kern w:val="0"/>
          <w:szCs w:val="28"/>
          <w:lang w:val="uz-Cyrl-UZ" w:eastAsia="ru-RU"/>
        </w:rPr>
      </w:pPr>
      <w:r w:rsidRPr="003D353C">
        <w:rPr>
          <w:rFonts w:eastAsia="Times New Roman"/>
          <w:kern w:val="0"/>
          <w:szCs w:val="28"/>
          <w:lang w:val="uz-Cyrl-UZ" w:eastAsia="ru-RU"/>
        </w:rPr>
        <w:t xml:space="preserve">высокая волатильность </w:t>
      </w:r>
      <w:r w:rsidRPr="003D353C">
        <w:rPr>
          <w:rFonts w:eastAsia="Times New Roman"/>
          <w:kern w:val="0"/>
          <w:szCs w:val="24"/>
          <w:lang w:val="uz-Cyrl-UZ" w:eastAsia="ru-RU"/>
        </w:rPr>
        <w:t>цен на сельскохозяйственное сырье и инвестиционные ресурсы ;</w:t>
      </w:r>
    </w:p>
    <w:p w:rsidR="003D353C" w:rsidRPr="003D353C" w:rsidRDefault="003D353C" w:rsidP="00064A36">
      <w:pPr>
        <w:numPr>
          <w:ilvl w:val="0"/>
          <w:numId w:val="6"/>
        </w:numPr>
        <w:tabs>
          <w:tab w:val="left" w:pos="993"/>
        </w:tabs>
        <w:spacing w:after="0" w:line="360" w:lineRule="auto"/>
        <w:ind w:left="0" w:firstLine="720"/>
        <w:jc w:val="both"/>
        <w:rPr>
          <w:rFonts w:eastAsia="Times New Roman"/>
          <w:kern w:val="0"/>
          <w:szCs w:val="28"/>
          <w:lang w:val="uz-Cyrl-UZ" w:eastAsia="ru-RU"/>
        </w:rPr>
      </w:pPr>
      <w:r w:rsidRPr="003D353C">
        <w:rPr>
          <w:rFonts w:eastAsia="Times New Roman"/>
          <w:kern w:val="0"/>
          <w:szCs w:val="28"/>
          <w:lang w:val="uz-Cyrl-UZ" w:eastAsia="ru-RU"/>
        </w:rPr>
        <w:t xml:space="preserve">По данным исследователей </w:t>
      </w:r>
      <w:r w:rsidRPr="003D353C">
        <w:rPr>
          <w:rFonts w:eastAsia="Times New Roman"/>
          <w:kern w:val="0"/>
          <w:szCs w:val="28"/>
          <w:vertAlign w:val="superscript"/>
          <w:lang w:eastAsia="ru-RU"/>
        </w:rPr>
        <w:footnoteReference w:id="59"/>
      </w:r>
      <w:r w:rsidRPr="003D353C">
        <w:rPr>
          <w:rFonts w:eastAsia="Times New Roman"/>
          <w:kern w:val="0"/>
          <w:szCs w:val="28"/>
          <w:lang w:val="uz-Cyrl-UZ" w:eastAsia="ru-RU"/>
        </w:rPr>
        <w:t xml:space="preserve">из американской компании Boston Consulting Group , одним из главных препятствий на пути развития сельского хозяйства в Центральной Азии являются неэффективные, технологически </w:t>
      </w:r>
      <w:r w:rsidRPr="003D353C">
        <w:rPr>
          <w:rFonts w:eastAsia="Times New Roman"/>
          <w:kern w:val="0"/>
          <w:szCs w:val="28"/>
          <w:lang w:val="uz-Cyrl-UZ" w:eastAsia="ru-RU"/>
        </w:rPr>
        <w:lastRenderedPageBreak/>
        <w:t xml:space="preserve">устаревшие ирригационные системы, охватывающие лишь ограниченную часть территории региона. По данным Всемирного банка, «потери воды, используемой для орошения в регионе, достигают 79 процентов». Устаревшие ирригационные системы также </w:t>
      </w:r>
      <w:r w:rsidRPr="003D353C">
        <w:rPr>
          <w:rFonts w:eastAsia="Times New Roman"/>
          <w:kern w:val="0"/>
          <w:szCs w:val="28"/>
          <w:vertAlign w:val="superscript"/>
          <w:lang w:val="uz-Cyrl-UZ" w:eastAsia="ru-RU"/>
        </w:rPr>
        <w:footnoteReference w:id="60"/>
      </w:r>
      <w:r w:rsidRPr="003D353C">
        <w:rPr>
          <w:rFonts w:eastAsia="Times New Roman"/>
          <w:kern w:val="0"/>
          <w:szCs w:val="28"/>
          <w:lang w:val="uz-Cyrl-UZ" w:eastAsia="ru-RU"/>
        </w:rPr>
        <w:t xml:space="preserve">приводят к дальнейшей деградации и засолению почв . </w:t>
      </w:r>
      <w:r w:rsidR="00AD341E" w:rsidRPr="00AD341E">
        <w:rPr>
          <w:rFonts w:eastAsia="Times New Roman"/>
          <w:kern w:val="0"/>
          <w:szCs w:val="28"/>
          <w:lang w:val="uz-Cyrl-UZ" w:eastAsia="ru-RU"/>
        </w:rPr>
        <w:t xml:space="preserve">Рекомендации правительственных чиновников и правительства Великобритании по устойчивому развитию технологий и инноваций очень важны. Кроме того, «до 40 процентов урожая теряется из-за плохой инфраструктуры на пред- и послеуборочных этапах». В Узбекистане «теряется около 34% всей оросительной воды в ирригационных системах». Площадь сельскохозяйственных земель (20,2 млн гектаров) составляет 20,7 процента от общей площади сельскохозяйственных земель, что на 15 лет больше, чем предлагаемые 24 процента на душу населения. Эта ситуация обусловлена ростом населения, сокращением водоснабжения и переводом сельскохозяйственных земель в другие категории земельных фондов. Поэтому предприятию необходимо привлекать внешние условия, в которых развиваются водосберегающие технологии, укреплять необходимую инфраструктуру и повышать пропускную способность и качество воды. </w:t>
      </w:r>
      <w:r w:rsidRPr="003D353C">
        <w:rPr>
          <w:rFonts w:eastAsia="Times New Roman"/>
          <w:kern w:val="0"/>
          <w:szCs w:val="28"/>
          <w:vertAlign w:val="superscript"/>
          <w:lang w:eastAsia="ru-RU"/>
        </w:rPr>
        <w:footnoteReference w:id="61"/>
      </w:r>
      <w:r w:rsidRPr="003D353C">
        <w:rPr>
          <w:rFonts w:eastAsia="Times New Roman"/>
          <w:kern w:val="0"/>
          <w:szCs w:val="28"/>
          <w:lang w:val="uz-Cyrl-UZ" w:eastAsia="ru-RU"/>
        </w:rPr>
        <w:t xml:space="preserve">В Узбекистане «около 34 процентов всей оросительной воды теряется в ирригационных сетях» </w:t>
      </w:r>
      <w:r w:rsidRPr="003D353C">
        <w:rPr>
          <w:rFonts w:eastAsia="Times New Roman"/>
          <w:kern w:val="0"/>
          <w:szCs w:val="28"/>
          <w:vertAlign w:val="superscript"/>
          <w:lang w:eastAsia="ru-RU"/>
        </w:rPr>
        <w:footnoteReference w:id="62"/>
      </w:r>
      <w:r w:rsidRPr="003D353C">
        <w:rPr>
          <w:rFonts w:eastAsia="Times New Roman"/>
          <w:kern w:val="0"/>
          <w:szCs w:val="28"/>
          <w:lang w:val="uz-Cyrl-UZ" w:eastAsia="ru-RU"/>
        </w:rPr>
        <w:t>. Орошается лишь 20,7 процента от общей площади сельскохозяйственных земель (20,2 млн гектаров), а за последние 15 лет площадь орошаемых земель на душу населения сократилась на 24 процента. Такая ситуация возникла в результате роста населения, сокращения водоснабжения и перевода сельскохозяйственных земель в другие категории земельных фондов. Поэтому необходимо ускорить работу по привлечению иностранных инвестиций в водосберегающие технологии в нашу страну.</w:t>
      </w:r>
    </w:p>
    <w:p w:rsidR="003D353C" w:rsidRPr="003D353C" w:rsidRDefault="003D353C" w:rsidP="00064A36">
      <w:pPr>
        <w:numPr>
          <w:ilvl w:val="0"/>
          <w:numId w:val="6"/>
        </w:numPr>
        <w:tabs>
          <w:tab w:val="left" w:pos="993"/>
        </w:tabs>
        <w:spacing w:after="0" w:line="360" w:lineRule="auto"/>
        <w:ind w:left="0" w:firstLine="720"/>
        <w:jc w:val="both"/>
        <w:rPr>
          <w:rFonts w:eastAsia="Times New Roman"/>
          <w:kern w:val="0"/>
          <w:szCs w:val="28"/>
          <w:lang w:val="uz-Cyrl-UZ" w:eastAsia="ru-RU"/>
        </w:rPr>
      </w:pPr>
      <w:r w:rsidRPr="003D353C">
        <w:rPr>
          <w:rFonts w:eastAsia="Times New Roman"/>
          <w:kern w:val="0"/>
          <w:szCs w:val="28"/>
          <w:lang w:val="uz-Cyrl-UZ" w:eastAsia="ru-RU"/>
        </w:rPr>
        <w:t>отсутствие широкого применения рыночных принципов при купле-продаже сельскохозяйственной продукции;</w:t>
      </w:r>
    </w:p>
    <w:p w:rsidR="003D353C" w:rsidRPr="003D353C" w:rsidRDefault="003D353C" w:rsidP="00064A36">
      <w:pPr>
        <w:numPr>
          <w:ilvl w:val="0"/>
          <w:numId w:val="6"/>
        </w:numPr>
        <w:tabs>
          <w:tab w:val="left" w:pos="993"/>
        </w:tabs>
        <w:spacing w:after="0" w:line="360" w:lineRule="auto"/>
        <w:ind w:left="0" w:firstLine="720"/>
        <w:jc w:val="both"/>
        <w:rPr>
          <w:rFonts w:eastAsia="Times New Roman"/>
          <w:kern w:val="0"/>
          <w:szCs w:val="28"/>
          <w:lang w:val="uz-Cyrl-UZ" w:eastAsia="ru-RU"/>
        </w:rPr>
      </w:pPr>
      <w:r w:rsidRPr="003D353C">
        <w:rPr>
          <w:rFonts w:eastAsia="Times New Roman"/>
          <w:kern w:val="0"/>
          <w:szCs w:val="28"/>
          <w:lang w:val="uz-Cyrl-UZ" w:eastAsia="ru-RU"/>
        </w:rPr>
        <w:t>и т. д.</w:t>
      </w:r>
    </w:p>
    <w:p w:rsidR="00AD341E" w:rsidRPr="00AD341E" w:rsidRDefault="00AD341E" w:rsidP="00AD341E">
      <w:pPr>
        <w:tabs>
          <w:tab w:val="left" w:pos="993"/>
        </w:tabs>
        <w:spacing w:after="0" w:line="360" w:lineRule="auto"/>
        <w:ind w:firstLine="720"/>
        <w:jc w:val="both"/>
        <w:rPr>
          <w:rFonts w:eastAsia="Times New Roman"/>
          <w:kern w:val="0"/>
          <w:szCs w:val="28"/>
          <w:lang w:val="uz-Cyrl-UZ" w:eastAsia="ru-RU"/>
        </w:rPr>
      </w:pPr>
      <w:r w:rsidRPr="00AD341E">
        <w:rPr>
          <w:rFonts w:eastAsia="Times New Roman"/>
          <w:kern w:val="0"/>
          <w:szCs w:val="28"/>
          <w:lang w:val="uz-Cyrl-UZ" w:eastAsia="ru-RU"/>
        </w:rPr>
        <w:lastRenderedPageBreak/>
        <w:t>Процентные ставки в сельском хозяйстве не зависят от обменных курсов инвестиций и кредитов, институтов, государственных инвестиционных объединений, кооперативов и государственно-частных партнерств, особенно иностранных инвестиций. Спрос на них укрепляется. Иностранные инвестиции и кредиты на основе государственной инвестиционной системы активно способствуют развитию экономики, ирригации и мелиорации земель, что, в свою очередь, стимулирует экономический рост в связи с экономикой. Таким образом, изучение инвестиций в фермеров и сельское хозяйство укрепляет агропромышленный сектор страны, программы сельскохозяйственного производства решают проблемы агропроизводства, которые сочетаются с проблемами сельского хозяйства. Совместные кордоны создают возможность увидеть эффективность хозяйствующих субъектов в соответствии с интересами революции, на которых в прошлом была сосредоточена деятельность.</w:t>
      </w:r>
    </w:p>
    <w:p w:rsidR="00AD341E" w:rsidRPr="00AD341E" w:rsidRDefault="00AD341E" w:rsidP="00AD341E">
      <w:pPr>
        <w:tabs>
          <w:tab w:val="left" w:pos="993"/>
        </w:tabs>
        <w:spacing w:after="0" w:line="360" w:lineRule="auto"/>
        <w:ind w:firstLine="720"/>
        <w:jc w:val="both"/>
        <w:rPr>
          <w:rFonts w:eastAsia="Times New Roman"/>
          <w:kern w:val="0"/>
          <w:szCs w:val="28"/>
          <w:lang w:val="uz-Cyrl-UZ" w:eastAsia="ru-RU"/>
        </w:rPr>
      </w:pPr>
      <w:r w:rsidRPr="00E46DF0">
        <w:rPr>
          <w:rFonts w:eastAsia="Times New Roman"/>
          <w:kern w:val="0"/>
          <w:szCs w:val="28"/>
          <w:lang w:val="uz-Cyrl-UZ" w:eastAsia="ru-RU"/>
        </w:rPr>
        <w:t>Сельскохозяйственная кооперация, привлечение инвестиций, государство, содружество, экономическое развитие, разработка законодательства, реализация законодательных программ, реализация планов, развитие экономического развития. Отраслевая экономика, потенциал которой находится в неудовлетворительном состоянии, все больше превращается в бедную деревню. Таким образом, необходимо повысить роль инвестиций в сельское хозяйство, разработать инвестиционные приоритеты малых сельскохозяйственных кооперативов.</w:t>
      </w:r>
    </w:p>
    <w:p w:rsidR="003D353C" w:rsidRPr="003D353C" w:rsidRDefault="00AD341E" w:rsidP="00AD341E">
      <w:pPr>
        <w:tabs>
          <w:tab w:val="left" w:pos="993"/>
        </w:tabs>
        <w:spacing w:after="0" w:line="360" w:lineRule="auto"/>
        <w:ind w:firstLine="720"/>
        <w:jc w:val="both"/>
        <w:rPr>
          <w:kern w:val="0"/>
          <w:szCs w:val="28"/>
          <w:lang w:val="uz-Cyrl-UZ"/>
        </w:rPr>
      </w:pPr>
      <w:r w:rsidRPr="00AD341E">
        <w:rPr>
          <w:rFonts w:eastAsia="Times New Roman"/>
          <w:kern w:val="0"/>
          <w:szCs w:val="28"/>
          <w:lang w:val="uz-Cyrl-UZ" w:eastAsia="ru-RU"/>
        </w:rPr>
        <w:t xml:space="preserve">Иностранные инвесторы в Узбекистане привлекли внимание ирландской армии. На этот процесс влияют несколько служб </w:t>
      </w:r>
      <w:r w:rsidR="003D353C" w:rsidRPr="003D353C">
        <w:rPr>
          <w:kern w:val="0"/>
          <w:szCs w:val="28"/>
          <w:lang w:val="uz-Cyrl-UZ"/>
        </w:rPr>
        <w:t>:</w:t>
      </w:r>
    </w:p>
    <w:p w:rsidR="003D353C" w:rsidRPr="003D353C" w:rsidRDefault="003D353C" w:rsidP="00064A36">
      <w:pPr>
        <w:numPr>
          <w:ilvl w:val="0"/>
          <w:numId w:val="5"/>
        </w:numPr>
        <w:tabs>
          <w:tab w:val="left" w:pos="993"/>
        </w:tabs>
        <w:spacing w:after="0" w:line="360" w:lineRule="auto"/>
        <w:ind w:left="0" w:firstLine="720"/>
        <w:jc w:val="both"/>
        <w:rPr>
          <w:kern w:val="0"/>
          <w:szCs w:val="28"/>
          <w:lang w:val="uz-Cyrl-UZ"/>
        </w:rPr>
      </w:pPr>
      <w:r w:rsidRPr="003D353C">
        <w:rPr>
          <w:kern w:val="0"/>
          <w:szCs w:val="28"/>
          <w:lang w:val="uz-Cyrl-UZ"/>
        </w:rPr>
        <w:t>Недостаток информации: Иностранным инвесторам может быть сложно получить достоверную информацию о возможностях и вопросах инвестирования в агроинвестиции в сельскохозяйственном секторе Узбекистана. Недостаточная или отсутствующая прозрачность и недостаток информации являются негативным фактором с точки зрения инвестиций со стороны потенциальных инвесторов.</w:t>
      </w:r>
    </w:p>
    <w:p w:rsidR="003D353C" w:rsidRPr="003D353C" w:rsidRDefault="003D353C" w:rsidP="00064A36">
      <w:pPr>
        <w:numPr>
          <w:ilvl w:val="0"/>
          <w:numId w:val="5"/>
        </w:numPr>
        <w:tabs>
          <w:tab w:val="left" w:pos="993"/>
        </w:tabs>
        <w:spacing w:after="0" w:line="360" w:lineRule="auto"/>
        <w:ind w:left="0" w:firstLine="720"/>
        <w:jc w:val="both"/>
        <w:rPr>
          <w:kern w:val="0"/>
          <w:szCs w:val="28"/>
          <w:lang w:val="uz-Cyrl-UZ"/>
        </w:rPr>
      </w:pPr>
      <w:r w:rsidRPr="003D353C">
        <w:rPr>
          <w:kern w:val="0"/>
          <w:szCs w:val="28"/>
          <w:lang w:val="uz-Cyrl-UZ"/>
        </w:rPr>
        <w:lastRenderedPageBreak/>
        <w:t>Отсутствие ясности или двусмысленность в правовой и нормативной среде, регулирующей инвестиционную деятельность в сельскохозяйственном секторе: существующие законы и правила, касающиеся иностранных инвесторов и инвестиций, могут быть нечеткими и меняться со временем. Это создает неопределенность для инвесторов и может серьезно повлиять на инвестиционные решения в сельскохозяйственном секторе.</w:t>
      </w:r>
    </w:p>
    <w:p w:rsidR="003D353C" w:rsidRPr="003D353C" w:rsidRDefault="003D353C" w:rsidP="00064A36">
      <w:pPr>
        <w:numPr>
          <w:ilvl w:val="0"/>
          <w:numId w:val="5"/>
        </w:numPr>
        <w:tabs>
          <w:tab w:val="left" w:pos="993"/>
        </w:tabs>
        <w:spacing w:after="0" w:line="360" w:lineRule="auto"/>
        <w:ind w:left="0" w:firstLine="720"/>
        <w:jc w:val="both"/>
        <w:rPr>
          <w:kern w:val="0"/>
          <w:szCs w:val="28"/>
          <w:lang w:val="uz-Cyrl-UZ"/>
        </w:rPr>
      </w:pPr>
      <w:r w:rsidRPr="003D353C">
        <w:rPr>
          <w:kern w:val="0"/>
          <w:szCs w:val="28"/>
          <w:lang w:val="uz-Cyrl-UZ"/>
        </w:rPr>
        <w:t xml:space="preserve">Ограничения на владение землей: Ограничения на владение землей в Узбекистане могут создавать проблемы для иностранных инвесторов. Например, иностранным инвесторам запрещено владеть землей, и они могут только арендовать ее на ограниченный срок. Статья 68 Конституции Республики Узбекистан </w:t>
      </w:r>
      <w:r w:rsidRPr="003D353C">
        <w:rPr>
          <w:kern w:val="0"/>
          <w:szCs w:val="28"/>
          <w:vertAlign w:val="superscript"/>
          <w:lang w:val="uz-Cyrl-UZ"/>
        </w:rPr>
        <w:footnoteReference w:id="63"/>
      </w:r>
      <w:r w:rsidRPr="003D353C">
        <w:rPr>
          <w:kern w:val="0"/>
          <w:szCs w:val="28"/>
          <w:lang w:val="uz-Cyrl-UZ"/>
        </w:rPr>
        <w:t>гласит: «Земля может находиться в частной собственности на условиях и в порядке, предусмотренных законом и обеспечивающих ее рациональное использование и защиту как национального достояния». Однако порядок и условия передачи земли иностранным инвесторам в частную собственность остаются неясными. Это может снизить привлекательность сельскохозяйственного сектора для инвесторов.</w:t>
      </w:r>
    </w:p>
    <w:p w:rsidR="003D353C" w:rsidRPr="003D353C" w:rsidRDefault="003D353C" w:rsidP="00064A36">
      <w:pPr>
        <w:numPr>
          <w:ilvl w:val="0"/>
          <w:numId w:val="5"/>
        </w:numPr>
        <w:tabs>
          <w:tab w:val="left" w:pos="993"/>
        </w:tabs>
        <w:spacing w:after="0" w:line="360" w:lineRule="auto"/>
        <w:ind w:left="0" w:firstLine="720"/>
        <w:jc w:val="both"/>
        <w:rPr>
          <w:kern w:val="0"/>
          <w:szCs w:val="28"/>
          <w:lang w:val="uz-Cyrl-UZ"/>
        </w:rPr>
      </w:pPr>
      <w:r w:rsidRPr="003D353C">
        <w:rPr>
          <w:kern w:val="0"/>
          <w:szCs w:val="28"/>
          <w:lang w:val="uz-Cyrl-UZ"/>
        </w:rPr>
        <w:t>Проблемы с инфраструктурой: недостаточно развитая сеть дорог, ирригационные системы, а также транспортно-складские мощности для сельскохозяйственной продукции могут отпугивать инвесторов от вложения средств.</w:t>
      </w:r>
    </w:p>
    <w:p w:rsidR="003D353C" w:rsidRPr="003D353C" w:rsidRDefault="003D353C" w:rsidP="00064A36">
      <w:pPr>
        <w:numPr>
          <w:ilvl w:val="0"/>
          <w:numId w:val="5"/>
        </w:numPr>
        <w:tabs>
          <w:tab w:val="left" w:pos="993"/>
        </w:tabs>
        <w:spacing w:after="0" w:line="360" w:lineRule="auto"/>
        <w:ind w:left="0" w:firstLine="720"/>
        <w:jc w:val="both"/>
        <w:rPr>
          <w:kern w:val="0"/>
          <w:szCs w:val="28"/>
          <w:lang w:val="uz-Cyrl-UZ"/>
        </w:rPr>
      </w:pPr>
      <w:r w:rsidRPr="003D353C">
        <w:rPr>
          <w:kern w:val="0"/>
          <w:szCs w:val="28"/>
          <w:lang w:val="uz-Cyrl-UZ"/>
        </w:rPr>
        <w:t>Нехватка квалифицированной рабочей силы: подготовка специалистов с необходимой квалификацией и навыками в агропромышленном секторе — сложный и трудоемкий процесс, а нехватка таких специалистов может негативно сказаться на процессе привлечения иностранных инвестиций в этот сектор.</w:t>
      </w:r>
    </w:p>
    <w:p w:rsidR="00AD341E" w:rsidRPr="00AD341E" w:rsidRDefault="00AD341E" w:rsidP="00AD341E">
      <w:pPr>
        <w:tabs>
          <w:tab w:val="left" w:pos="993"/>
        </w:tabs>
        <w:spacing w:after="0" w:line="360" w:lineRule="auto"/>
        <w:ind w:firstLine="567"/>
        <w:jc w:val="both"/>
        <w:rPr>
          <w:kern w:val="0"/>
          <w:szCs w:val="28"/>
          <w:lang w:val="uz-Cyrl-UZ"/>
        </w:rPr>
      </w:pPr>
      <w:r w:rsidRPr="00AD341E">
        <w:rPr>
          <w:kern w:val="0"/>
          <w:szCs w:val="28"/>
          <w:lang w:val="uz-Cyrl-UZ"/>
        </w:rPr>
        <w:t xml:space="preserve">Учитывая эти опасения, на мой взгляд, правительство Узбекистана должно сочетать инвестиционные программы для защиты интересов сельского хозяйства, создания инвестиционных возможностей в </w:t>
      </w:r>
      <w:r w:rsidRPr="00AD341E">
        <w:rPr>
          <w:kern w:val="0"/>
          <w:szCs w:val="28"/>
          <w:lang w:val="uz-Cyrl-UZ"/>
        </w:rPr>
        <w:lastRenderedPageBreak/>
        <w:t>агропромышленном секторе и торговле. Необходимо внедрять принципы торговли и устойчивого управления (обучение инвесторов использованию прав собственности в греческих условиях и процедурах); развивать инфраструктуру для привлечения инвесторов, проводить модернизацию инфраструктуры, готовить кадров для министерств и укреплять системы образования. Кроме того, Узбекистан придает большое значение продвижению инвестиционных возможностей для молодежи в стране и поддерживает молодежные агроинвестиционные форумы и ассоциации.</w:t>
      </w:r>
    </w:p>
    <w:p w:rsidR="003D353C" w:rsidRPr="00EB6A7F" w:rsidRDefault="00AD341E" w:rsidP="00AD341E">
      <w:pPr>
        <w:tabs>
          <w:tab w:val="left" w:pos="993"/>
        </w:tabs>
        <w:spacing w:after="0" w:line="360" w:lineRule="auto"/>
        <w:ind w:firstLine="567"/>
        <w:jc w:val="both"/>
        <w:rPr>
          <w:kern w:val="0"/>
          <w:szCs w:val="28"/>
          <w:lang w:val="uz-Cyrl-UZ"/>
        </w:rPr>
      </w:pPr>
      <w:r w:rsidRPr="00AD341E">
        <w:rPr>
          <w:kern w:val="0"/>
          <w:szCs w:val="28"/>
          <w:lang w:val="uz-Cyrl-UZ"/>
        </w:rPr>
        <w:t>Модернизация сельскохозяйственного производства в Узбекистане направлена на интеграцию широкого спектра отраслей с целью увеличения сельскохозяйственного производства и повышения экспортного потенциала. Инвестиции в настоящее время являются наиболее важным фактором. Проблемы, привлекающие инвесторов в город Катор, связаны с развитием агропромышленного комплекса, в частности, с развитием инфраструктуры, повышением технологического уровня и совершенствованием механизмов инвестирования в экономическое развитие. Для этого необходимо изучить данную тему, предложить соответствующие работы и пути их решения на сегодняшний день.</w:t>
      </w:r>
    </w:p>
    <w:p w:rsidR="003D353C" w:rsidRPr="003D353C" w:rsidRDefault="00F50397" w:rsidP="00361092">
      <w:pPr>
        <w:tabs>
          <w:tab w:val="left" w:pos="993"/>
        </w:tabs>
        <w:spacing w:after="0" w:line="360" w:lineRule="auto"/>
        <w:jc w:val="both"/>
        <w:rPr>
          <w:kern w:val="0"/>
          <w:szCs w:val="28"/>
          <w:lang w:val="en-US"/>
        </w:rPr>
      </w:pPr>
      <w:r w:rsidRPr="00877CC4">
        <w:rPr>
          <w:noProof/>
          <w:kern w:val="0"/>
          <w:szCs w:val="28"/>
          <w:lang w:val="ru-RU" w:eastAsia="ru-RU"/>
        </w:rPr>
        <w:lastRenderedPageBreak/>
        <w:drawing>
          <wp:inline distT="0" distB="0" distL="0" distR="0">
            <wp:extent cx="5943600" cy="4095750"/>
            <wp:effectExtent l="0" t="0" r="0" b="0"/>
            <wp:docPr id="2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4095750"/>
                    </a:xfrm>
                    <a:prstGeom prst="rect">
                      <a:avLst/>
                    </a:prstGeom>
                    <a:noFill/>
                    <a:ln>
                      <a:noFill/>
                    </a:ln>
                  </pic:spPr>
                </pic:pic>
              </a:graphicData>
            </a:graphic>
          </wp:inline>
        </w:drawing>
      </w:r>
    </w:p>
    <w:p w:rsidR="003D353C" w:rsidRPr="00DF774B" w:rsidRDefault="003D353C" w:rsidP="003D353C">
      <w:pPr>
        <w:spacing w:after="0" w:line="360" w:lineRule="auto"/>
        <w:jc w:val="center"/>
        <w:rPr>
          <w:b/>
          <w:kern w:val="0"/>
          <w:szCs w:val="28"/>
          <w:lang w:val="ru-RU"/>
        </w:rPr>
      </w:pPr>
      <w:r w:rsidRPr="003D353C">
        <w:rPr>
          <w:b/>
          <w:kern w:val="0"/>
          <w:szCs w:val="28"/>
          <w:lang w:val="uz-Cyrl-UZ"/>
        </w:rPr>
        <w:t xml:space="preserve">Рисунок </w:t>
      </w:r>
      <w:r w:rsidR="007E6B6E" w:rsidRPr="00DF774B">
        <w:rPr>
          <w:b/>
          <w:kern w:val="0"/>
          <w:szCs w:val="28"/>
          <w:lang w:val="ru-RU"/>
        </w:rPr>
        <w:t xml:space="preserve">3.1 </w:t>
      </w:r>
      <w:r w:rsidRPr="003D353C">
        <w:rPr>
          <w:b/>
          <w:kern w:val="0"/>
          <w:szCs w:val="28"/>
          <w:lang w:val="uz-Cyrl-UZ"/>
        </w:rPr>
        <w:t xml:space="preserve">. Текущие проблемы привлечения инвестиций в сельскохозяйственный </w:t>
      </w:r>
      <w:r w:rsidRPr="003D353C">
        <w:rPr>
          <w:rStyle w:val="af0"/>
          <w:b/>
          <w:kern w:val="0"/>
          <w:szCs w:val="28"/>
          <w:lang w:val="uz-Cyrl-UZ"/>
        </w:rPr>
        <w:footnoteReference w:id="64"/>
      </w:r>
      <w:r w:rsidRPr="00DF774B">
        <w:rPr>
          <w:b/>
          <w:kern w:val="0"/>
          <w:szCs w:val="28"/>
          <w:lang w:val="ru-RU"/>
        </w:rPr>
        <w:t>сектор.</w:t>
      </w:r>
    </w:p>
    <w:p w:rsidR="004F6E6E" w:rsidRPr="00DF774B" w:rsidRDefault="00AD341E" w:rsidP="004F6E6E">
      <w:pPr>
        <w:spacing w:after="0" w:line="360" w:lineRule="auto"/>
        <w:ind w:firstLine="567"/>
        <w:jc w:val="both"/>
        <w:rPr>
          <w:bCs/>
          <w:kern w:val="0"/>
          <w:szCs w:val="28"/>
          <w:lang w:val="ru-RU"/>
        </w:rPr>
      </w:pPr>
      <w:r w:rsidRPr="00DF774B">
        <w:rPr>
          <w:bCs/>
          <w:kern w:val="0"/>
          <w:szCs w:val="28"/>
          <w:lang w:val="ru-RU"/>
        </w:rPr>
        <w:t xml:space="preserve">Сельскохозяйственный кооператив Ассоциации экономического развития Узбекистана является одним из крупнейших предприятий в мире. Соответственно, сектору необходимы более амбициозные инвестиции для ускорения модернизации и укрепления устойчивости. Это также затрагивает ряд вопросов, связанных с развитием инфраструктуры, финансовым аудитом и технологическим прогрессом с точки зрения конкурентоспособности и эффективности. Именно это происходит с людьми и людьми во всем мире </w:t>
      </w:r>
      <w:r w:rsidR="004F6E6E" w:rsidRPr="00DF774B">
        <w:rPr>
          <w:bCs/>
          <w:kern w:val="0"/>
          <w:szCs w:val="28"/>
          <w:lang w:val="ru-RU"/>
        </w:rPr>
        <w:t>.</w:t>
      </w:r>
    </w:p>
    <w:p w:rsidR="00361092" w:rsidRPr="00361092" w:rsidRDefault="00F50397" w:rsidP="00AC6CEE">
      <w:pPr>
        <w:spacing w:after="0" w:line="360" w:lineRule="auto"/>
        <w:jc w:val="both"/>
        <w:rPr>
          <w:bCs/>
          <w:kern w:val="0"/>
          <w:szCs w:val="28"/>
          <w:lang w:val="en-US"/>
        </w:rPr>
      </w:pPr>
      <w:r w:rsidRPr="00877CC4">
        <w:rPr>
          <w:noProof/>
          <w:kern w:val="0"/>
          <w:szCs w:val="28"/>
          <w:lang w:val="ru-RU" w:eastAsia="ru-RU"/>
        </w:rPr>
        <w:lastRenderedPageBreak/>
        <w:drawing>
          <wp:inline distT="0" distB="0" distL="0" distR="0">
            <wp:extent cx="5943600" cy="4876800"/>
            <wp:effectExtent l="0" t="0" r="0" b="0"/>
            <wp:docPr id="2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876800"/>
                    </a:xfrm>
                    <a:prstGeom prst="rect">
                      <a:avLst/>
                    </a:prstGeom>
                    <a:noFill/>
                    <a:ln>
                      <a:noFill/>
                    </a:ln>
                  </pic:spPr>
                </pic:pic>
              </a:graphicData>
            </a:graphic>
          </wp:inline>
        </w:drawing>
      </w:r>
    </w:p>
    <w:p w:rsidR="00361092" w:rsidRPr="00DF774B" w:rsidRDefault="00361092" w:rsidP="00361092">
      <w:pPr>
        <w:spacing w:after="0" w:line="360" w:lineRule="auto"/>
        <w:jc w:val="center"/>
        <w:rPr>
          <w:b/>
          <w:kern w:val="0"/>
          <w:szCs w:val="28"/>
          <w:lang w:val="ru-RU"/>
        </w:rPr>
      </w:pPr>
      <w:r w:rsidRPr="003D353C">
        <w:rPr>
          <w:b/>
          <w:kern w:val="0"/>
          <w:szCs w:val="28"/>
          <w:lang w:val="uz-Cyrl-UZ"/>
        </w:rPr>
        <w:t xml:space="preserve">Рисунок </w:t>
      </w:r>
      <w:r w:rsidR="007E6B6E" w:rsidRPr="00DF774B">
        <w:rPr>
          <w:b/>
          <w:kern w:val="0"/>
          <w:szCs w:val="28"/>
          <w:lang w:val="ru-RU"/>
        </w:rPr>
        <w:t xml:space="preserve">3.2 . </w:t>
      </w:r>
      <w:r w:rsidRPr="00361092">
        <w:rPr>
          <w:b/>
          <w:kern w:val="0"/>
          <w:szCs w:val="28"/>
          <w:lang w:val="uz-Cyrl-UZ"/>
        </w:rPr>
        <w:t xml:space="preserve">Способы преодоления существующих проблем </w:t>
      </w:r>
      <w:r>
        <w:rPr>
          <w:rStyle w:val="af0"/>
          <w:b/>
          <w:kern w:val="0"/>
          <w:szCs w:val="28"/>
          <w:lang w:val="uz-Cyrl-UZ"/>
        </w:rPr>
        <w:footnoteReference w:id="65"/>
      </w:r>
      <w:r w:rsidRPr="00DF774B">
        <w:rPr>
          <w:b/>
          <w:kern w:val="0"/>
          <w:szCs w:val="28"/>
          <w:lang w:val="ru-RU"/>
        </w:rPr>
        <w:t xml:space="preserve">в </w:t>
      </w:r>
      <w:r w:rsidRPr="003D353C">
        <w:rPr>
          <w:b/>
          <w:kern w:val="0"/>
          <w:szCs w:val="28"/>
          <w:lang w:val="uz-Cyrl-UZ"/>
        </w:rPr>
        <w:t xml:space="preserve">привлечении инвестиций в сельскохозяйственный </w:t>
      </w:r>
      <w:r w:rsidRPr="00DF774B">
        <w:rPr>
          <w:b/>
          <w:kern w:val="0"/>
          <w:szCs w:val="28"/>
          <w:lang w:val="ru-RU"/>
        </w:rPr>
        <w:t>сектор.</w:t>
      </w:r>
    </w:p>
    <w:p w:rsidR="008E4349" w:rsidRPr="00DF774B" w:rsidRDefault="00AD341E" w:rsidP="00675A4F">
      <w:pPr>
        <w:spacing w:after="0" w:line="360" w:lineRule="auto"/>
        <w:ind w:firstLine="567"/>
        <w:jc w:val="both"/>
        <w:rPr>
          <w:bCs/>
          <w:lang w:val="ru-RU"/>
        </w:rPr>
      </w:pPr>
      <w:r w:rsidRPr="00DF774B">
        <w:rPr>
          <w:bCs/>
          <w:lang w:val="ru-RU"/>
        </w:rPr>
        <w:t xml:space="preserve">Экономическое развитие Узбекистана, стратегическая важность инвестиций в экономический рост и развитие экономики, развитие сельскохозяйственного производства и продвижение экспортной экономики. Характеристики материалов, инфраструктуры и технологий имеют решающее значение, а комплексный подход эффективен при параллельном производстве оборудования. В соответствии с государственными нормами в области прав человека, финансовых и технологических инноваций, инвесторы должны иметь возможность укреплять и развивать важную среду. Разрыв между сельскохозяйственным производством, инвестициями и экономическим </w:t>
      </w:r>
      <w:r w:rsidRPr="00DF774B">
        <w:rPr>
          <w:bCs/>
          <w:lang w:val="ru-RU"/>
        </w:rPr>
        <w:lastRenderedPageBreak/>
        <w:t>ростом, экономический рост страны и инновации могут способствовать увеличению добавленной стоимости.</w:t>
      </w:r>
    </w:p>
    <w:p w:rsidR="00AD341E" w:rsidRPr="00DF774B" w:rsidRDefault="00AD341E" w:rsidP="00675A4F">
      <w:pPr>
        <w:spacing w:after="0" w:line="360" w:lineRule="auto"/>
        <w:ind w:firstLine="567"/>
        <w:jc w:val="both"/>
        <w:rPr>
          <w:b/>
          <w:lang w:val="ru-RU"/>
        </w:rPr>
      </w:pPr>
    </w:p>
    <w:p w:rsidR="007B50BF" w:rsidRPr="00DF774B" w:rsidRDefault="007B50BF" w:rsidP="007B50BF">
      <w:pPr>
        <w:spacing w:after="0" w:line="360" w:lineRule="auto"/>
        <w:jc w:val="center"/>
        <w:rPr>
          <w:b/>
          <w:lang w:val="ru-RU"/>
        </w:rPr>
      </w:pPr>
      <w:r w:rsidRPr="00DF774B">
        <w:rPr>
          <w:b/>
          <w:lang w:val="ru-RU"/>
        </w:rPr>
        <w:t>§ 3.2 Направления развития инвестиций в сельскохозяйственный сектор</w:t>
      </w:r>
    </w:p>
    <w:p w:rsidR="00AD341E" w:rsidRPr="00DF774B" w:rsidRDefault="00AD341E" w:rsidP="00AD341E">
      <w:pPr>
        <w:spacing w:after="0" w:line="360" w:lineRule="auto"/>
        <w:ind w:firstLine="567"/>
        <w:jc w:val="both"/>
        <w:rPr>
          <w:bCs/>
          <w:lang w:val="ru-RU"/>
        </w:rPr>
      </w:pPr>
      <w:r w:rsidRPr="00DF774B">
        <w:rPr>
          <w:bCs/>
          <w:lang w:val="ru-RU"/>
        </w:rPr>
        <w:t>В последние годы Республика Узбекистан реализует масштабную программу модернизации аграрного сектора, обеспечения продовольственной безопасности, повышения экспортного потенциала и расширения занятости. Сельскохозяйственные социальные предприятия (ССП) играют важную роль в экономике, являясь сильнейшим объединением экономического развития в стране. В связи с этим необходимо использовать имеющиеся природные ресурсы и человеческий труд, укреплять и поддерживать отечественные технологии, а также инвестировать в развитие производства оливкового масла.</w:t>
      </w:r>
    </w:p>
    <w:p w:rsidR="00AD341E" w:rsidRPr="00DF774B" w:rsidRDefault="00AD341E" w:rsidP="00AD341E">
      <w:pPr>
        <w:spacing w:after="0" w:line="360" w:lineRule="auto"/>
        <w:ind w:firstLine="567"/>
        <w:jc w:val="both"/>
        <w:rPr>
          <w:bCs/>
          <w:lang w:val="ru-RU"/>
        </w:rPr>
      </w:pPr>
      <w:r w:rsidRPr="00DF774B">
        <w:rPr>
          <w:bCs/>
          <w:lang w:val="ru-RU"/>
        </w:rPr>
        <w:t>Узбекистан получает выгоду от увеличения прямых иностранных инвестиций, что, возможно, является одной из важнейших инвестиционных возможностей в мире. Джон Банк, директор Продовольственной и сельскохозяйственной организации ООН (ФАО) и Программы развития ООН (ПРООН), определил инвестиционные приоритеты для долгосрочного развития сельского хозяйства. В частности, Узбекистан также является одной из самых продуктивных в сельскохозяйственном отношении стран мира, обладающей сильной технологической базой, эффектом масштаба и экспортной торговлей, возглавляемой Ирландией. В совокупности данные свидетельствуют о наличии инвестиционных возможностей на рынке для экономического роста: экономического роста, развития инфраструктуры, укрепления экономического роста. Религиозные лидеры, руководители, менеджеры по управлению рисками вовлечены в мониторинг развития. Эти усилия встречают резкую критику в форме инвестиций.</w:t>
      </w:r>
    </w:p>
    <w:p w:rsidR="00AD341E" w:rsidRPr="00DF774B" w:rsidRDefault="00AD341E" w:rsidP="00AD341E">
      <w:pPr>
        <w:spacing w:after="0" w:line="360" w:lineRule="auto"/>
        <w:ind w:firstLine="567"/>
        <w:jc w:val="both"/>
        <w:rPr>
          <w:bCs/>
          <w:lang w:val="ru-RU"/>
        </w:rPr>
      </w:pPr>
      <w:r w:rsidRPr="00DF774B">
        <w:rPr>
          <w:bCs/>
          <w:lang w:val="ru-RU"/>
        </w:rPr>
        <w:t xml:space="preserve">В этой связи необходимо оценить инвестиционный потенциал аграрного сектора Узбекистана, оценить имеющиеся ресурсы и возможности вблизи рынка, а также работать с сельскохозяйственными партнерами для повышения привлекательности инвестиций в аграрный сектор. Тема анализируется </w:t>
      </w:r>
      <w:r w:rsidRPr="00DF774B">
        <w:rPr>
          <w:bCs/>
          <w:lang w:val="ru-RU"/>
        </w:rPr>
        <w:lastRenderedPageBreak/>
        <w:t>посредством углубленного анализа развития аграрной политики правительств в сравнении с административными рекомендациями для Китайской Народной Республики.</w:t>
      </w:r>
    </w:p>
    <w:p w:rsidR="004F1A93" w:rsidRPr="00DF774B" w:rsidRDefault="00AD341E" w:rsidP="00AD341E">
      <w:pPr>
        <w:spacing w:after="0" w:line="360" w:lineRule="auto"/>
        <w:ind w:firstLine="567"/>
        <w:jc w:val="both"/>
        <w:rPr>
          <w:bCs/>
          <w:lang w:val="ru-RU"/>
        </w:rPr>
      </w:pPr>
      <w:r w:rsidRPr="00DF774B">
        <w:rPr>
          <w:bCs/>
          <w:lang w:val="ru-RU"/>
        </w:rPr>
        <w:t>Аграрные инвестиции являются мощным механизмом привлечения сельскохозяйственных производителей, а также этнических групп и сельскохозяйственных производителей. Необходимость экономических, финансовых, правовых и институциональных стимулов для этого механизма и поддержки инвестиционных решений сопоставима с европейскими странами.</w:t>
      </w:r>
    </w:p>
    <w:p w:rsidR="00C04024" w:rsidRDefault="00F50397" w:rsidP="004F1A93">
      <w:pPr>
        <w:spacing w:after="0" w:line="360" w:lineRule="auto"/>
        <w:jc w:val="both"/>
        <w:rPr>
          <w:b/>
          <w:lang w:val="en-US"/>
        </w:rPr>
      </w:pPr>
      <w:r w:rsidRPr="00877CC4">
        <w:rPr>
          <w:b/>
          <w:noProof/>
          <w:lang w:val="ru-RU" w:eastAsia="ru-RU"/>
        </w:rPr>
        <w:drawing>
          <wp:inline distT="0" distB="0" distL="0" distR="0">
            <wp:extent cx="5943600" cy="4743450"/>
            <wp:effectExtent l="0" t="0" r="0" b="0"/>
            <wp:docPr id="3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4743450"/>
                    </a:xfrm>
                    <a:prstGeom prst="rect">
                      <a:avLst/>
                    </a:prstGeom>
                    <a:noFill/>
                    <a:ln>
                      <a:noFill/>
                    </a:ln>
                  </pic:spPr>
                </pic:pic>
              </a:graphicData>
            </a:graphic>
          </wp:inline>
        </w:drawing>
      </w:r>
    </w:p>
    <w:p w:rsidR="00C04024" w:rsidRPr="00DF774B" w:rsidRDefault="007E6B6E" w:rsidP="00C04024">
      <w:pPr>
        <w:spacing w:after="0" w:line="360" w:lineRule="auto"/>
        <w:jc w:val="center"/>
        <w:rPr>
          <w:b/>
          <w:lang w:val="ru-RU"/>
        </w:rPr>
      </w:pPr>
      <w:r w:rsidRPr="00DF774B">
        <w:rPr>
          <w:b/>
          <w:lang w:val="ru-RU"/>
        </w:rPr>
        <w:t>Рисунок 3.3. Механизм привлечения инвестиций в сельскохозяйственный сектор.</w:t>
      </w:r>
      <w:r w:rsidR="00C04024">
        <w:rPr>
          <w:rStyle w:val="af0"/>
          <w:b/>
          <w:lang w:val="en-US"/>
        </w:rPr>
        <w:footnoteReference w:id="66"/>
      </w:r>
    </w:p>
    <w:p w:rsidR="00AD341E" w:rsidRPr="00DF774B" w:rsidRDefault="00AD341E" w:rsidP="00AD341E">
      <w:pPr>
        <w:spacing w:after="0" w:line="360" w:lineRule="auto"/>
        <w:ind w:firstLine="567"/>
        <w:jc w:val="both"/>
        <w:rPr>
          <w:bCs/>
          <w:lang w:val="ru-RU"/>
        </w:rPr>
      </w:pPr>
      <w:r w:rsidRPr="00DF774B">
        <w:rPr>
          <w:bCs/>
          <w:lang w:val="ru-RU"/>
        </w:rPr>
        <w:t xml:space="preserve">Сельскохозяйственные инвесторы привлекают взвешенные механизмы кооперативного кредитования или комплексных ипотечных займов. Нас отличает финансовая поддержка, не только в виде золота, но и правовые </w:t>
      </w:r>
      <w:r w:rsidRPr="00DF774B">
        <w:rPr>
          <w:bCs/>
          <w:lang w:val="ru-RU"/>
        </w:rPr>
        <w:lastRenderedPageBreak/>
        <w:t>гарантии, налоговые льготы, инфраструктурная и информационная поддержка; мы — инвестор, способный хорошо выполнять свою работу. Узбекские сельскохозяйственные организации, особенно сторонники ГЧП, конкурируют и объединяют представителей узбекского сельскохозяйственного сообщества, глобальных инвесторов и фермеров. Существуют механизмы экономической оценки и совершенствования методов сельскохозяйственного орошения.</w:t>
      </w:r>
    </w:p>
    <w:p w:rsidR="00A771C6" w:rsidRPr="00DF774B" w:rsidRDefault="00AD341E" w:rsidP="00AD341E">
      <w:pPr>
        <w:spacing w:after="0" w:line="360" w:lineRule="auto"/>
        <w:ind w:firstLine="567"/>
        <w:jc w:val="both"/>
        <w:rPr>
          <w:bCs/>
          <w:lang w:val="ru-RU"/>
        </w:rPr>
      </w:pPr>
      <w:r w:rsidRPr="00DF774B">
        <w:rPr>
          <w:bCs/>
          <w:lang w:val="ru-RU"/>
        </w:rPr>
        <w:t>Модель управления инвестиционными рисками создает условия для сельскохозяйственных кооперативов, позволяющие эффективно управлять рисками и инвестициями для обеспечения устойчивого сельскохозяйственного производства. Эта модель имеет экономическую, правовую, финансовую и институциональную основу в стране.</w:t>
      </w:r>
    </w:p>
    <w:p w:rsidR="00A771C6" w:rsidRDefault="00F50397" w:rsidP="00A771C6">
      <w:pPr>
        <w:spacing w:after="0" w:line="360" w:lineRule="auto"/>
        <w:jc w:val="both"/>
        <w:rPr>
          <w:bCs/>
          <w:lang w:val="en-US"/>
        </w:rPr>
      </w:pPr>
      <w:r w:rsidRPr="005377B4">
        <w:rPr>
          <w:noProof/>
          <w:lang w:val="ru-RU" w:eastAsia="ru-RU"/>
        </w:rPr>
        <w:drawing>
          <wp:inline distT="0" distB="0" distL="0" distR="0">
            <wp:extent cx="5943600" cy="4629150"/>
            <wp:effectExtent l="0" t="0" r="0" b="0"/>
            <wp:docPr id="31"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4629150"/>
                    </a:xfrm>
                    <a:prstGeom prst="rect">
                      <a:avLst/>
                    </a:prstGeom>
                    <a:noFill/>
                    <a:ln>
                      <a:noFill/>
                    </a:ln>
                  </pic:spPr>
                </pic:pic>
              </a:graphicData>
            </a:graphic>
          </wp:inline>
        </w:drawing>
      </w:r>
    </w:p>
    <w:p w:rsidR="006502F0" w:rsidRPr="00DF774B" w:rsidRDefault="007E6B6E" w:rsidP="006502F0">
      <w:pPr>
        <w:spacing w:after="0" w:line="360" w:lineRule="auto"/>
        <w:jc w:val="center"/>
        <w:rPr>
          <w:b/>
          <w:lang w:val="ru-RU"/>
        </w:rPr>
      </w:pPr>
      <w:r w:rsidRPr="00DF774B">
        <w:rPr>
          <w:b/>
          <w:lang w:val="ru-RU"/>
        </w:rPr>
        <w:lastRenderedPageBreak/>
        <w:t>Рисунок 3.4. Модель привлечения инвестиций в сельскохозяйственный сектор.</w:t>
      </w:r>
      <w:r w:rsidR="006502F0">
        <w:rPr>
          <w:rStyle w:val="af0"/>
          <w:b/>
          <w:lang w:val="en-US"/>
        </w:rPr>
        <w:footnoteReference w:id="67"/>
      </w:r>
    </w:p>
    <w:p w:rsidR="00AD341E" w:rsidRPr="00DF774B" w:rsidRDefault="00AD341E" w:rsidP="00AD341E">
      <w:pPr>
        <w:spacing w:after="0" w:line="360" w:lineRule="auto"/>
        <w:ind w:firstLine="567"/>
        <w:jc w:val="both"/>
        <w:rPr>
          <w:bCs/>
          <w:lang w:val="ru-RU"/>
        </w:rPr>
      </w:pPr>
      <w:r w:rsidRPr="00DF774B">
        <w:rPr>
          <w:bCs/>
          <w:lang w:val="ru-RU"/>
        </w:rPr>
        <w:t>Поддержка сельского хозяйства, привлечение инвестиций, предпочтения инвесторов, стратегии развития и привлекательные модели распределения местных ресурсов являются устойчивыми. Модель сельскохозяйственного производства аграрного общества Узбекистана: аграрные кластеры производителей сельскохозяйственной продукции; конкурентоспособность, устранение экспортно-ориентированных таможенных островов; регулирование инновационных технологий; развитие взаимодействия и обеспечение занятости укрепляют потенциал общества. Поэтому для аграрного сектора, особенно для развитой гибкой, фундаментальной модели инвестиций в экономику, продовольственной безопасности и устойчивого экономического развития стран, это имеет большое значение.</w:t>
      </w:r>
    </w:p>
    <w:p w:rsidR="00A918FF" w:rsidRPr="00DF774B" w:rsidRDefault="00AD341E" w:rsidP="00AD341E">
      <w:pPr>
        <w:spacing w:after="0" w:line="360" w:lineRule="auto"/>
        <w:ind w:firstLine="567"/>
        <w:jc w:val="both"/>
        <w:rPr>
          <w:bCs/>
          <w:lang w:val="ru-RU"/>
        </w:rPr>
      </w:pPr>
      <w:r w:rsidRPr="00DF774B">
        <w:rPr>
          <w:bCs/>
          <w:lang w:val="ru-RU"/>
        </w:rPr>
        <w:t>Сельскохозяйственный сектор играет ключевую роль в стратегическом развитии экономики Узбекистана, укреплении инфраструктуры страны, росте экспорта и региональной интеграции. Для укрепления сельскохозяйственных предприятий, повышения технологических инноваций и увеличения экспорта необходимы значительные инвестиции. Однако сектор по-прежнему сталкивается с системными проблемами, которые приводят к замедлению роста. Поэтому поддержка мелкого сельского хозяйства является важным фактором при оценке заинтересованности инвесторов в краткосрочной прибыли.</w:t>
      </w:r>
    </w:p>
    <w:p w:rsidR="00A918FF" w:rsidRDefault="00F50397" w:rsidP="00A918FF">
      <w:pPr>
        <w:spacing w:after="0" w:line="360" w:lineRule="auto"/>
        <w:jc w:val="both"/>
        <w:rPr>
          <w:bCs/>
          <w:lang w:val="en-US"/>
        </w:rPr>
      </w:pPr>
      <w:r w:rsidRPr="005377B4">
        <w:rPr>
          <w:noProof/>
          <w:lang w:val="ru-RU" w:eastAsia="ru-RU"/>
        </w:rPr>
        <w:lastRenderedPageBreak/>
        <w:drawing>
          <wp:inline distT="0" distB="0" distL="0" distR="0">
            <wp:extent cx="5943600" cy="3124200"/>
            <wp:effectExtent l="0" t="0" r="0" b="0"/>
            <wp:docPr id="32"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124200"/>
                    </a:xfrm>
                    <a:prstGeom prst="rect">
                      <a:avLst/>
                    </a:prstGeom>
                    <a:noFill/>
                    <a:ln>
                      <a:noFill/>
                    </a:ln>
                  </pic:spPr>
                </pic:pic>
              </a:graphicData>
            </a:graphic>
          </wp:inline>
        </w:drawing>
      </w:r>
    </w:p>
    <w:p w:rsidR="00761A88" w:rsidRPr="00DF774B" w:rsidRDefault="007E6B6E" w:rsidP="00761A88">
      <w:pPr>
        <w:spacing w:after="0" w:line="360" w:lineRule="auto"/>
        <w:jc w:val="center"/>
        <w:rPr>
          <w:b/>
          <w:lang w:val="ru-RU"/>
        </w:rPr>
      </w:pPr>
      <w:r w:rsidRPr="00DF774B">
        <w:rPr>
          <w:b/>
          <w:lang w:val="ru-RU"/>
        </w:rPr>
        <w:t>Рисунок 3.5. Способы привлечения инвестиций в сельскохозяйственный сектор.</w:t>
      </w:r>
      <w:r w:rsidR="00761A88" w:rsidRPr="00761A88">
        <w:rPr>
          <w:rStyle w:val="af0"/>
          <w:b/>
          <w:lang w:val="en-US"/>
        </w:rPr>
        <w:footnoteReference w:id="68"/>
      </w:r>
    </w:p>
    <w:p w:rsidR="00E73E39" w:rsidRPr="00DF774B" w:rsidRDefault="00AD341E" w:rsidP="00783D32">
      <w:pPr>
        <w:spacing w:after="0" w:line="360" w:lineRule="auto"/>
        <w:ind w:firstLine="567"/>
        <w:jc w:val="both"/>
        <w:rPr>
          <w:bCs/>
          <w:lang w:val="ru-RU"/>
        </w:rPr>
      </w:pPr>
      <w:r w:rsidRPr="00DF774B">
        <w:rPr>
          <w:bCs/>
          <w:lang w:val="ru-RU"/>
        </w:rPr>
        <w:t>Интерес сельского хозяйства к привлечению инвестиций оказывает сильное влияние на уровень политических, правовых, экономических и технических аспектов развития. Создание благоприятной среды для инвесторов, прибыльной и инвестиционной экономики, а также расширение возможностей трудоустройства для предпринимателей в агропромышленном секторе обусловлены созданием соответствующего совета. Для Узбекистана это современные, инновационные, фондовые кластеры, а также государственные партнерства и организации, и предприниматели. Инвестиционная экосистема укрепляется инвесторами, развивается инвесторами и застройщиками, определяется государственными институтами, политиками, инфраструктурой и механизмами. Частный и государственный секторы частной инвестиционной экосистемы включают: предпринимателей, фермеров, государственные предприятия, финансовые учреждения, технологические компании и частных инвесторов в сфере инноваций, инвестиций и развития.</w:t>
      </w:r>
    </w:p>
    <w:p w:rsidR="00E73E39" w:rsidRDefault="00F50397" w:rsidP="007261D9">
      <w:pPr>
        <w:spacing w:after="0" w:line="360" w:lineRule="auto"/>
        <w:jc w:val="both"/>
        <w:rPr>
          <w:bCs/>
          <w:lang w:val="en-US"/>
        </w:rPr>
      </w:pPr>
      <w:r w:rsidRPr="005377B4">
        <w:rPr>
          <w:noProof/>
          <w:lang w:val="ru-RU" w:eastAsia="ru-RU"/>
        </w:rPr>
        <w:lastRenderedPageBreak/>
        <w:drawing>
          <wp:inline distT="0" distB="0" distL="0" distR="0">
            <wp:extent cx="5943600" cy="4362450"/>
            <wp:effectExtent l="0" t="0" r="0" b="0"/>
            <wp:docPr id="33"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4362450"/>
                    </a:xfrm>
                    <a:prstGeom prst="rect">
                      <a:avLst/>
                    </a:prstGeom>
                    <a:noFill/>
                    <a:ln>
                      <a:noFill/>
                    </a:ln>
                  </pic:spPr>
                </pic:pic>
              </a:graphicData>
            </a:graphic>
          </wp:inline>
        </w:drawing>
      </w:r>
    </w:p>
    <w:p w:rsidR="00783D32" w:rsidRPr="00DF774B" w:rsidRDefault="007E6B6E" w:rsidP="00A83F97">
      <w:pPr>
        <w:spacing w:after="0" w:line="360" w:lineRule="auto"/>
        <w:jc w:val="center"/>
        <w:rPr>
          <w:b/>
          <w:lang w:val="ru-RU"/>
        </w:rPr>
      </w:pPr>
      <w:r w:rsidRPr="00DF774B">
        <w:rPr>
          <w:b/>
          <w:lang w:val="ru-RU"/>
        </w:rPr>
        <w:t>Рисунок 3.6. Экосистема привлечения инвестиций в сельскохозяйственный сектор.</w:t>
      </w:r>
      <w:r w:rsidR="00E73E39" w:rsidRPr="00E73E39">
        <w:rPr>
          <w:rStyle w:val="af0"/>
          <w:b/>
          <w:lang w:val="en-US"/>
        </w:rPr>
        <w:footnoteReference w:id="69"/>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t>Инвестиции в сельское хозяйство привлекли мощную экосистему, включающую лидеров, правительства, финансовые институты, ученых и сельскую молодежь. Такие экосистемы высоко развиты, инвесторы защищены, создаются фермерские и животноводческие хозяйства, а также модернизируется, развивается технологически и экономически развитая экономика.</w:t>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t xml:space="preserve">В Узбекистане целесообразно развивать рыночную экосистему сельскохозяйственных инвестиций, осуществляя ее постепенное развитие, результаты которого достигаются при небольших вложениях: сбор и инвестиции ценятся; сотрудничество осуществляется с использованием современных агротехнологий; фермеры и кластеры не испытывают </w:t>
      </w:r>
      <w:r w:rsidRPr="00DF774B">
        <w:rPr>
          <w:rFonts w:eastAsia="Calibri"/>
          <w:bCs/>
          <w:kern w:val="2"/>
          <w:sz w:val="28"/>
          <w:szCs w:val="22"/>
          <w:lang w:val="ru-RU" w:eastAsia="en-US"/>
        </w:rPr>
        <w:lastRenderedPageBreak/>
        <w:t>трудностей и не могут найти себе место; укрепляются экспорт и продовольственное хранение.</w:t>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t>Поэтому необходимо объединить государственную политику, правовые гарантии, цифровизацию и культуру устойчивого развития. Только таким образом аграрный сектор Узбекистана сможет привлечь устойчивые, долгосрочные и стабильные инвестиции.</w:t>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t>Для каждого района инвестиционные приоритеты имеют большое значение в региональной экономике. Возможно увеличение капитализации привлекательных инвестиционных рынков, особенно экономик арабских стран.</w:t>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t>Борьба страны за независимость является основой перемен, а укрепление имущественного класса путем обеспечения юрисдикции страны и городов экономической юрисдикции требует обеспечения функционирования сети. Это необходимо для достижения финансовой стабильности посредством развития сети, а также определения приоритетов инвестиций.</w:t>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t xml:space="preserve">Обучение инвестициям и кредитованию направлено на ознакомление инвесторов, корпораций, государственных инвестиционных управляющих ассоциаций, коалиционных организаций и участников рынка на уровне развития инвестиций с участием в инвестиционно-кредитной деятельности. Оба примера знаний в данной статье предоставлены по запросу Управления по укреплению рынка. Основой Государственного института управления инвестициями стало развитие центров иностранных инвестиций и кредитования, развитие инвестиций, развитие сельского хозяйства, развитие и развитие торговли, связанной с боеприпасами, фермерами и сельскохозяйственными производителями, иностранными инвестициями в сельскохозяйственное производство, сельскохозяйственным производством, сложными процессами сельскохозяйственного производства, сельскохозяйственными программами, агроинтеграционными хозяйствами, по </w:t>
      </w:r>
      <w:r w:rsidRPr="00DF774B">
        <w:rPr>
          <w:rFonts w:eastAsia="Calibri"/>
          <w:bCs/>
          <w:kern w:val="2"/>
          <w:sz w:val="28"/>
          <w:szCs w:val="22"/>
          <w:lang w:val="ru-RU" w:eastAsia="en-US"/>
        </w:rPr>
        <w:lastRenderedPageBreak/>
        <w:t>словам координаторов агроинтеграционных хозяйств, в интересах сотрудничества экономических субъектов, в интересах революции, в интересах прошлого периода.</w:t>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t>Следует отметить, что инвестиции в экономическое развитие республики — в частности, инвестиции в образование — привлекают этнические и отраслевые дополнительные проекты, созданные президентом О'Тибором Кучайибом. 11 апреля 2005 года в Фармониге, Килиноччи, было подписано Соглашение с инвесторами Федеральной резервной системы, предусматривающее участие этнических меньшинств в разработке программ стратегического сотрудничества. Налоговые льготы имеют важное экономическое значение, при этом было определено 8 дополнительных экономических льгот, которые, как правило, недоступны для сельского хозяйства.</w:t>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t>Для обеспечения решения вопросов безопасности в Узбекистане необходимо объединить инвесторов и предпринимателей. Для этого министр и правительство страны создадут специальный веб-сайт для предоставления интернет-услуг и, при необходимости, через этот сайт будут публиковаться результаты по приоритетным направлениям. В следующем году был запущен Национальный научно-исследовательский центр развития статистики. Для обеспечения практической реализации этого проекта необходимо обеспечить его свободное использование. В этой связи необходимо обеспечить открытость и прозрачность законов, не запрещенных законом, свободу действий должностных лиц, доступность научных и практических решений в работе, составление прогнозов, синтез существующих материалов, синтез существующих препятствий для реализации необходимой информации и синтез существующих препятствий для реализации необходимой информации и синтез существующих материалов ...</w:t>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lastRenderedPageBreak/>
        <w:t xml:space="preserve">Кроме того, рост инвестиций и экономическая привлекательность экономик развивающихся стран оцениваются консультационными рейтинговыми агентствами, специализирующимися на реализации этнических и инвестиционных программ в рамках государственного экономического развития. В этом отношении Специальная или известная компания </w:t>
      </w:r>
      <w:r w:rsidRPr="00877CC4">
        <w:rPr>
          <w:rFonts w:eastAsia="Calibri"/>
          <w:bCs/>
          <w:kern w:val="2"/>
          <w:sz w:val="28"/>
          <w:szCs w:val="22"/>
          <w:lang w:val="en-US" w:eastAsia="en-US"/>
        </w:rPr>
        <w:t>Doriji</w:t>
      </w:r>
      <w:r w:rsidRPr="00DF774B">
        <w:rPr>
          <w:rFonts w:eastAsia="Calibri"/>
          <w:bCs/>
          <w:kern w:val="2"/>
          <w:sz w:val="28"/>
          <w:szCs w:val="22"/>
          <w:lang w:val="ru-RU" w:eastAsia="en-US"/>
        </w:rPr>
        <w:t xml:space="preserve"> или рейтинговое агентство </w:t>
      </w:r>
      <w:r w:rsidRPr="00877CC4">
        <w:rPr>
          <w:rFonts w:eastAsia="Calibri"/>
          <w:bCs/>
          <w:kern w:val="2"/>
          <w:sz w:val="28"/>
          <w:szCs w:val="22"/>
          <w:lang w:val="en-US" w:eastAsia="en-US"/>
        </w:rPr>
        <w:t>Investment</w:t>
      </w:r>
      <w:r w:rsidRPr="00DF774B">
        <w:rPr>
          <w:rFonts w:eastAsia="Calibri"/>
          <w:bCs/>
          <w:kern w:val="2"/>
          <w:sz w:val="28"/>
          <w:szCs w:val="22"/>
          <w:lang w:val="ru-RU" w:eastAsia="en-US"/>
        </w:rPr>
        <w:t xml:space="preserve"> </w:t>
      </w:r>
      <w:r w:rsidRPr="00877CC4">
        <w:rPr>
          <w:rFonts w:eastAsia="Calibri"/>
          <w:bCs/>
          <w:kern w:val="2"/>
          <w:sz w:val="28"/>
          <w:szCs w:val="22"/>
          <w:lang w:val="en-US" w:eastAsia="en-US"/>
        </w:rPr>
        <w:t>Ratings</w:t>
      </w:r>
      <w:r w:rsidRPr="00DF774B">
        <w:rPr>
          <w:rFonts w:eastAsia="Calibri"/>
          <w:bCs/>
          <w:kern w:val="2"/>
          <w:sz w:val="28"/>
          <w:szCs w:val="22"/>
          <w:lang w:val="ru-RU" w:eastAsia="en-US"/>
        </w:rPr>
        <w:t xml:space="preserve">, </w:t>
      </w:r>
      <w:r w:rsidRPr="00877CC4">
        <w:rPr>
          <w:rFonts w:eastAsia="Calibri"/>
          <w:bCs/>
          <w:kern w:val="2"/>
          <w:sz w:val="28"/>
          <w:szCs w:val="22"/>
          <w:lang w:val="en-US" w:eastAsia="en-US"/>
        </w:rPr>
        <w:t>Consulting</w:t>
      </w:r>
      <w:r w:rsidRPr="00DF774B">
        <w:rPr>
          <w:rFonts w:eastAsia="Calibri"/>
          <w:bCs/>
          <w:kern w:val="2"/>
          <w:sz w:val="28"/>
          <w:szCs w:val="22"/>
          <w:lang w:val="ru-RU" w:eastAsia="en-US"/>
        </w:rPr>
        <w:t xml:space="preserve"> </w:t>
      </w:r>
      <w:r w:rsidRPr="00877CC4">
        <w:rPr>
          <w:rFonts w:eastAsia="Calibri"/>
          <w:bCs/>
          <w:kern w:val="2"/>
          <w:sz w:val="28"/>
          <w:szCs w:val="22"/>
          <w:lang w:val="en-US" w:eastAsia="en-US"/>
        </w:rPr>
        <w:t>AGentlemen</w:t>
      </w:r>
      <w:r w:rsidRPr="00DF774B">
        <w:rPr>
          <w:rFonts w:eastAsia="Calibri"/>
          <w:bCs/>
          <w:kern w:val="2"/>
          <w:sz w:val="28"/>
          <w:szCs w:val="22"/>
          <w:lang w:val="ru-RU" w:eastAsia="en-US"/>
        </w:rPr>
        <w:t>, в сотрудничестве с объединенными ассоциациями и их филиалами преследуют общую цель. В случае положительных результатов различные инвесторы продолжат обсуждение проблем с полицией и ассоциацией.</w:t>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t>Проблемы, связанные с вышеупомянутым районом, могут быть серьезными:</w:t>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t>сложная экономика приоритеты инвестиций особые экономические и финансовые государства революционная экономика развития ресурсов агропроизводственные механизмы экономика Торговая ассоциация США постоянная территория Такомильяс;</w:t>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t>Необходимо увеличить занятость путем разработки приоритетных направлений инвестиций и механизмов управления в сельскохозяйственных районах, повышения организованности производственного труда и постепенного увеличения доступности химических кредитов для сельского населения;</w:t>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t>Цель – собрать воедино примеры институциональных проблем в развитии вопросов, рассматриваемых на западном и англоязычном языках, а также меры, необходимые для Острова Исхода;</w:t>
      </w:r>
    </w:p>
    <w:p w:rsidR="00AD341E" w:rsidRPr="00DF774B" w:rsidRDefault="00AD341E" w:rsidP="00AD341E">
      <w:pPr>
        <w:pStyle w:val="rvps3"/>
        <w:tabs>
          <w:tab w:val="left" w:pos="993"/>
        </w:tabs>
        <w:spacing w:after="0" w:line="360" w:lineRule="auto"/>
        <w:ind w:firstLine="720"/>
        <w:rPr>
          <w:rFonts w:eastAsia="Calibri"/>
          <w:bCs/>
          <w:kern w:val="2"/>
          <w:sz w:val="28"/>
          <w:szCs w:val="22"/>
          <w:lang w:val="ru-RU" w:eastAsia="en-US"/>
        </w:rPr>
      </w:pPr>
      <w:r w:rsidRPr="00DF774B">
        <w:rPr>
          <w:rFonts w:eastAsia="Calibri"/>
          <w:bCs/>
          <w:kern w:val="2"/>
          <w:sz w:val="28"/>
          <w:szCs w:val="22"/>
          <w:lang w:val="ru-RU" w:eastAsia="en-US"/>
        </w:rPr>
        <w:t xml:space="preserve">Укрепление инвестиций в экономический рост и инвестиционные возможности, поскольку существует множество возможностей для экономического роста с точки зрения отраслевых инвестиций, в целом, </w:t>
      </w:r>
      <w:r w:rsidRPr="00DF774B">
        <w:rPr>
          <w:rFonts w:eastAsia="Calibri"/>
          <w:bCs/>
          <w:kern w:val="2"/>
          <w:sz w:val="28"/>
          <w:szCs w:val="22"/>
          <w:lang w:val="ru-RU" w:eastAsia="en-US"/>
        </w:rPr>
        <w:lastRenderedPageBreak/>
        <w:t>институциональные инвестиции в развитие экономики страны представляют собой механизмы, обеспечивающие равные возможности для застройщиков.</w:t>
      </w:r>
    </w:p>
    <w:p w:rsidR="00940E35" w:rsidRPr="0056479D" w:rsidRDefault="00AD341E" w:rsidP="00AD341E">
      <w:pPr>
        <w:pStyle w:val="rvps3"/>
        <w:tabs>
          <w:tab w:val="left" w:pos="993"/>
        </w:tabs>
        <w:spacing w:after="0" w:line="360" w:lineRule="auto"/>
        <w:ind w:firstLine="720"/>
        <w:rPr>
          <w:sz w:val="28"/>
          <w:szCs w:val="28"/>
          <w:lang w:val="uz-Cyrl-UZ"/>
        </w:rPr>
      </w:pPr>
      <w:r w:rsidRPr="00DF774B">
        <w:rPr>
          <w:rFonts w:eastAsia="Calibri"/>
          <w:bCs/>
          <w:kern w:val="2"/>
          <w:sz w:val="28"/>
          <w:szCs w:val="22"/>
          <w:lang w:val="ru-RU" w:eastAsia="en-US"/>
        </w:rPr>
        <w:t xml:space="preserve">сбережений взрослого населения (услуг) на регрессию и корреляцию сельскохозяйственной производительности в мелкомасштабном фермерстве, сравнение результатов инвестиций в образование и кредитов с государственным сектором. Корреляция (лат. </w:t>
      </w:r>
      <w:r w:rsidRPr="00877CC4">
        <w:rPr>
          <w:rFonts w:eastAsia="Calibri"/>
          <w:bCs/>
          <w:kern w:val="2"/>
          <w:sz w:val="28"/>
          <w:szCs w:val="22"/>
          <w:lang w:val="en-US" w:eastAsia="en-US"/>
        </w:rPr>
        <w:t>correlatio</w:t>
      </w:r>
      <w:r w:rsidRPr="00DF774B">
        <w:rPr>
          <w:rFonts w:eastAsia="Calibri"/>
          <w:bCs/>
          <w:kern w:val="2"/>
          <w:sz w:val="28"/>
          <w:szCs w:val="22"/>
          <w:lang w:val="ru-RU" w:eastAsia="en-US"/>
        </w:rPr>
        <w:t xml:space="preserve"> – отношение, корреляция) видов, типов, функций лесных экосистем, лесных экосистем, корреляции, количественные функциональные свойства и микробиологическая эффективность лесных экосистем. Эти выводы основаны на товарных ценах – в виде таблиц данных и формул </w:t>
      </w:r>
      <w:r w:rsidR="00940E35" w:rsidRPr="0056479D">
        <w:rPr>
          <w:sz w:val="28"/>
          <w:szCs w:val="28"/>
          <w:lang w:val="uz-Cyrl-UZ"/>
        </w:rPr>
        <w:t>:</w:t>
      </w:r>
    </w:p>
    <w:p w:rsidR="00940E35" w:rsidRPr="0056479D" w:rsidRDefault="007E6B6E" w:rsidP="00940E35">
      <w:pPr>
        <w:pStyle w:val="rvps3"/>
        <w:tabs>
          <w:tab w:val="left" w:pos="993"/>
        </w:tabs>
        <w:spacing w:before="0" w:beforeAutospacing="0" w:after="0" w:afterAutospacing="0"/>
        <w:ind w:firstLine="709"/>
        <w:jc w:val="right"/>
        <w:rPr>
          <w:b/>
          <w:bCs/>
          <w:sz w:val="28"/>
          <w:szCs w:val="28"/>
          <w:lang w:val="uz-Cyrl-UZ"/>
        </w:rPr>
      </w:pPr>
      <w:r w:rsidRPr="004A4CC9">
        <w:rPr>
          <w:b/>
          <w:bCs/>
          <w:sz w:val="28"/>
          <w:szCs w:val="28"/>
          <w:lang w:val="uz-Cyrl-UZ"/>
        </w:rPr>
        <w:t>Таблица 3.1</w:t>
      </w:r>
    </w:p>
    <w:p w:rsidR="00940E35" w:rsidRPr="0056479D" w:rsidRDefault="00940E35" w:rsidP="00940E35">
      <w:pPr>
        <w:pStyle w:val="rvps3"/>
        <w:tabs>
          <w:tab w:val="left" w:pos="993"/>
        </w:tabs>
        <w:spacing w:before="0" w:beforeAutospacing="0" w:after="0" w:afterAutospacing="0"/>
        <w:ind w:firstLine="0"/>
        <w:jc w:val="center"/>
        <w:rPr>
          <w:b/>
          <w:bCs/>
          <w:sz w:val="28"/>
          <w:szCs w:val="28"/>
          <w:lang w:val="uz-Cyrl-UZ"/>
        </w:rPr>
      </w:pPr>
      <w:r w:rsidRPr="0056479D">
        <w:rPr>
          <w:b/>
          <w:bCs/>
          <w:sz w:val="28"/>
          <w:szCs w:val="28"/>
          <w:lang w:val="uz-Cyrl-UZ"/>
        </w:rPr>
        <w:t>Объем произведенной сельскохозяйственной продукции, а также привлеченных иностранных инвестиций и кредитов в 2013-2023 годах (в млрд сумов)</w:t>
      </w:r>
      <w:r w:rsidRPr="00877CC4">
        <w:rPr>
          <w:rStyle w:val="af0"/>
          <w:b/>
          <w:bCs/>
          <w:szCs w:val="28"/>
          <w:lang w:val="uz-Cyrl-UZ"/>
        </w:rPr>
        <w:t xml:space="preserve"> </w:t>
      </w:r>
      <w:r w:rsidRPr="00877CC4">
        <w:rPr>
          <w:rStyle w:val="af0"/>
          <w:b/>
          <w:bCs/>
          <w:szCs w:val="28"/>
          <w:lang w:val="uz-Cyrl-UZ"/>
        </w:rPr>
        <w:footnoteReference w:id="70"/>
      </w:r>
    </w:p>
    <w:p w:rsidR="00940E35" w:rsidRPr="0056479D" w:rsidRDefault="00940E35" w:rsidP="00940E35">
      <w:pPr>
        <w:pStyle w:val="rvps3"/>
        <w:tabs>
          <w:tab w:val="left" w:pos="993"/>
        </w:tabs>
        <w:spacing w:before="0" w:beforeAutospacing="0" w:after="0" w:afterAutospacing="0"/>
        <w:ind w:firstLine="709"/>
        <w:rPr>
          <w:sz w:val="8"/>
          <w:szCs w:val="8"/>
          <w:lang w:val="uz-Cyrl-UZ"/>
        </w:rPr>
      </w:pPr>
    </w:p>
    <w:p w:rsidR="00AD341E" w:rsidRDefault="00F50397" w:rsidP="00AD341E">
      <w:pPr>
        <w:pStyle w:val="rvps3"/>
        <w:tabs>
          <w:tab w:val="left" w:pos="993"/>
        </w:tabs>
        <w:spacing w:before="0" w:beforeAutospacing="0" w:after="0" w:afterAutospacing="0" w:line="360" w:lineRule="auto"/>
        <w:ind w:firstLine="0"/>
        <w:rPr>
          <w:sz w:val="28"/>
          <w:szCs w:val="28"/>
          <w:lang w:val="uz-Cyrl-UZ"/>
        </w:rPr>
      </w:pPr>
      <w:r w:rsidRPr="00877CC4">
        <w:rPr>
          <w:noProof/>
          <w:sz w:val="28"/>
          <w:szCs w:val="28"/>
          <w:lang w:val="ru-RU"/>
        </w:rPr>
        <w:drawing>
          <wp:inline distT="0" distB="0" distL="0" distR="0">
            <wp:extent cx="5943600" cy="3543300"/>
            <wp:effectExtent l="0" t="0" r="0" b="0"/>
            <wp:docPr id="3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543300"/>
                    </a:xfrm>
                    <a:prstGeom prst="rect">
                      <a:avLst/>
                    </a:prstGeom>
                    <a:noFill/>
                    <a:ln>
                      <a:noFill/>
                    </a:ln>
                  </pic:spPr>
                </pic:pic>
              </a:graphicData>
            </a:graphic>
          </wp:inline>
        </w:drawing>
      </w:r>
    </w:p>
    <w:p w:rsidR="00AD341E" w:rsidRPr="00AD341E" w:rsidRDefault="00AD341E" w:rsidP="00AD341E">
      <w:pPr>
        <w:pStyle w:val="rvps3"/>
        <w:tabs>
          <w:tab w:val="left" w:pos="993"/>
        </w:tabs>
        <w:spacing w:after="0" w:line="360" w:lineRule="auto"/>
        <w:ind w:firstLine="720"/>
        <w:rPr>
          <w:sz w:val="28"/>
          <w:szCs w:val="28"/>
          <w:lang w:val="uz-Cyrl-UZ"/>
        </w:rPr>
      </w:pPr>
      <w:r w:rsidRPr="00AD341E">
        <w:rPr>
          <w:sz w:val="28"/>
          <w:szCs w:val="28"/>
          <w:lang w:val="uz-Cyrl-UZ"/>
        </w:rPr>
        <w:t xml:space="preserve">При определении размера земной коры следует использовать формулу, в которой два компонента каждого параметра пропорциональны размеру </w:t>
      </w:r>
      <w:r w:rsidRPr="00AD341E">
        <w:rPr>
          <w:sz w:val="28"/>
          <w:szCs w:val="28"/>
          <w:lang w:val="uz-Cyrl-UZ"/>
        </w:rPr>
        <w:lastRenderedPageBreak/>
        <w:t>компонентов. Ожидается, что темпы экономического роста в 2013-2023 годах будут отражать рост инвестиций и кредитования в стране, а также рост инвестиционных возможностей. Коэффициент детерминации лесной продуктивности в 2013-2023 годах составляет R² = 0,88, что сопоставимо с коэффициентом регрессии k = 0,3721.</w:t>
      </w:r>
    </w:p>
    <w:p w:rsidR="00AD341E" w:rsidRPr="00AD341E" w:rsidRDefault="00AD341E" w:rsidP="00AD341E">
      <w:pPr>
        <w:pStyle w:val="rvps3"/>
        <w:tabs>
          <w:tab w:val="left" w:pos="993"/>
        </w:tabs>
        <w:spacing w:after="0" w:line="360" w:lineRule="auto"/>
        <w:ind w:firstLine="720"/>
        <w:rPr>
          <w:sz w:val="28"/>
          <w:szCs w:val="28"/>
          <w:lang w:val="uz-Cyrl-UZ"/>
        </w:rPr>
      </w:pPr>
    </w:p>
    <w:p w:rsidR="00940E35" w:rsidRPr="0056479D" w:rsidRDefault="00AD341E" w:rsidP="00AD341E">
      <w:pPr>
        <w:pStyle w:val="rvps3"/>
        <w:tabs>
          <w:tab w:val="left" w:pos="993"/>
        </w:tabs>
        <w:spacing w:before="0" w:beforeAutospacing="0" w:after="0" w:afterAutospacing="0" w:line="360" w:lineRule="auto"/>
        <w:ind w:firstLine="720"/>
        <w:rPr>
          <w:sz w:val="28"/>
          <w:szCs w:val="28"/>
          <w:lang w:val="uz-Cyrl-UZ"/>
        </w:rPr>
      </w:pPr>
      <w:r w:rsidRPr="00AD341E">
        <w:rPr>
          <w:sz w:val="28"/>
          <w:szCs w:val="28"/>
          <w:lang w:val="uz-Cyrl-UZ"/>
        </w:rPr>
        <w:t>В результате, поскольку R2 = 0,8877, можно заключить, что корреляция между переменными сильная. Предполагая, что чистый объем производства, инвестиции и кредитование зависят от роста на единицу дохода, и сохраняя средние процентные ставки на уровне 0,37 на единицу ВВП. (-Рисунок).</w:t>
      </w:r>
    </w:p>
    <w:p w:rsidR="00940E35" w:rsidRPr="0056479D" w:rsidRDefault="00F50397" w:rsidP="00940E35">
      <w:pPr>
        <w:spacing w:after="0"/>
        <w:jc w:val="center"/>
        <w:rPr>
          <w:b/>
          <w:bCs/>
          <w:szCs w:val="28"/>
          <w:lang w:val="uz-Cyrl-UZ"/>
        </w:rPr>
      </w:pPr>
      <w:r w:rsidRPr="00877CC4">
        <w:rPr>
          <w:rFonts w:eastAsia="Times New Roman"/>
          <w:b/>
          <w:noProof/>
          <w:szCs w:val="28"/>
          <w:lang w:val="ru-RU" w:eastAsia="ru-RU"/>
        </w:rPr>
        <w:drawing>
          <wp:inline distT="0" distB="0" distL="0" distR="0">
            <wp:extent cx="5943600" cy="2686050"/>
            <wp:effectExtent l="0" t="0" r="0" b="0"/>
            <wp:docPr id="35" name="Диаграмма 2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40E35" w:rsidRPr="0056479D" w:rsidRDefault="007E6B6E" w:rsidP="00940E35">
      <w:pPr>
        <w:spacing w:after="0"/>
        <w:jc w:val="center"/>
        <w:rPr>
          <w:b/>
          <w:bCs/>
          <w:szCs w:val="28"/>
          <w:lang w:val="uz-Cyrl-UZ"/>
        </w:rPr>
      </w:pPr>
      <w:r w:rsidRPr="004A4CC9">
        <w:rPr>
          <w:b/>
          <w:bCs/>
          <w:szCs w:val="28"/>
          <w:lang w:val="uz-Cyrl-UZ"/>
        </w:rPr>
        <w:t>Рисунок 3.7. Корреляция между общим объемом иностранных инвестиций и кредитов и общим объемом сельскохозяйственной продукции (услуги).</w:t>
      </w:r>
      <w:r w:rsidR="00940E35" w:rsidRPr="0056479D">
        <w:rPr>
          <w:b/>
          <w:bCs/>
          <w:szCs w:val="28"/>
          <w:vertAlign w:val="superscript"/>
        </w:rPr>
        <w:footnoteReference w:id="71"/>
      </w:r>
    </w:p>
    <w:p w:rsidR="00940E35" w:rsidRPr="0056479D" w:rsidRDefault="00940E35" w:rsidP="00940E35">
      <w:pPr>
        <w:pStyle w:val="rvps3"/>
        <w:tabs>
          <w:tab w:val="left" w:pos="993"/>
        </w:tabs>
        <w:spacing w:before="0" w:beforeAutospacing="0" w:after="0" w:afterAutospacing="0"/>
        <w:ind w:firstLine="709"/>
        <w:rPr>
          <w:sz w:val="28"/>
          <w:szCs w:val="28"/>
          <w:lang w:val="uz-Cyrl-UZ"/>
        </w:rPr>
      </w:pPr>
    </w:p>
    <w:p w:rsidR="00E37301" w:rsidRPr="00EB6A7F" w:rsidRDefault="00940E35" w:rsidP="00E37301">
      <w:pPr>
        <w:pStyle w:val="rvps3"/>
        <w:tabs>
          <w:tab w:val="left" w:pos="993"/>
        </w:tabs>
        <w:spacing w:before="0" w:beforeAutospacing="0" w:after="0" w:afterAutospacing="0" w:line="360" w:lineRule="auto"/>
        <w:ind w:firstLine="720"/>
        <w:rPr>
          <w:sz w:val="28"/>
          <w:szCs w:val="28"/>
          <w:lang w:val="uz-Cyrl-UZ"/>
        </w:rPr>
      </w:pPr>
      <w:r w:rsidRPr="0056479D">
        <w:rPr>
          <w:sz w:val="28"/>
          <w:szCs w:val="28"/>
          <w:lang w:val="uz-Cyrl-UZ"/>
        </w:rPr>
        <w:t xml:space="preserve">Как видно из модели на рисунке 2, R² </w:t>
      </w:r>
      <w:r w:rsidRPr="0056479D">
        <w:rPr>
          <w:sz w:val="28"/>
          <w:szCs w:val="28"/>
          <w:vertAlign w:val="superscript"/>
          <w:lang w:val="uz-Cyrl-UZ"/>
        </w:rPr>
        <w:t xml:space="preserve">= </w:t>
      </w:r>
      <w:r w:rsidRPr="0056479D">
        <w:rPr>
          <w:sz w:val="28"/>
          <w:szCs w:val="28"/>
          <w:lang w:val="uz-Cyrl-UZ"/>
        </w:rPr>
        <w:t>0,8877 указывает на очень сильную корреляцию между привлеченными в страну иностранными инвестициями и кредитами и валовым внутренним продуктом, созданным в сельском хозяйстве. Это означает, что чем больше иностранных инвестиций вкладывается (привлекается, размещается) в страну, тем сильнее их влияние на рост валового внутреннего продукта, созданного в сельском хозяйстве.</w:t>
      </w:r>
    </w:p>
    <w:p w:rsidR="00AD341E" w:rsidRPr="00AD341E" w:rsidRDefault="00AD341E" w:rsidP="00AD341E">
      <w:pPr>
        <w:widowControl w:val="0"/>
        <w:spacing w:after="0" w:line="360" w:lineRule="auto"/>
        <w:ind w:firstLine="567"/>
        <w:jc w:val="both"/>
        <w:rPr>
          <w:rFonts w:eastAsia="Times New Roman"/>
          <w:kern w:val="0"/>
          <w:szCs w:val="28"/>
          <w:lang w:val="uz-Cyrl-UZ" w:eastAsia="ru-RU"/>
        </w:rPr>
      </w:pPr>
      <w:r w:rsidRPr="00AD341E">
        <w:rPr>
          <w:rFonts w:eastAsia="Times New Roman"/>
          <w:kern w:val="0"/>
          <w:szCs w:val="28"/>
          <w:lang w:val="uz-Cyrl-UZ" w:eastAsia="ru-RU"/>
        </w:rPr>
        <w:lastRenderedPageBreak/>
        <w:t>Экономика страны уже не справляется со своей задачей, поскольку становится все труднее производить товары, производство которых обусловлено растущей ролью торговли как экономического мультипликатора. По оценкам групп экономического развития Продовольственной и сельскохозяйственной организации ООН, на долю сельскохозяйственных кооперативов приходится 1,5 процента от общего объема производства оливковых деревьев.</w:t>
      </w:r>
    </w:p>
    <w:p w:rsidR="00AD341E" w:rsidRPr="00AD341E" w:rsidRDefault="00AD341E" w:rsidP="00AD341E">
      <w:pPr>
        <w:widowControl w:val="0"/>
        <w:spacing w:after="0" w:line="360" w:lineRule="auto"/>
        <w:ind w:firstLine="567"/>
        <w:jc w:val="both"/>
        <w:rPr>
          <w:rFonts w:eastAsia="Times New Roman"/>
          <w:kern w:val="0"/>
          <w:szCs w:val="28"/>
          <w:lang w:val="uz-Cyrl-UZ" w:eastAsia="ru-RU"/>
        </w:rPr>
      </w:pPr>
      <w:r w:rsidRPr="00AD341E">
        <w:rPr>
          <w:rFonts w:eastAsia="Times New Roman"/>
          <w:kern w:val="0"/>
          <w:szCs w:val="28"/>
          <w:lang w:val="uz-Cyrl-UZ" w:eastAsia="ru-RU"/>
        </w:rPr>
        <w:t>С точки зрения бизнеса, для реализации этих программ необходимы инициативы по инвестированию в сельскохозяйственные кооперативы, направленные на поощрение и объединение фермеров:</w:t>
      </w:r>
    </w:p>
    <w:p w:rsidR="00AD341E" w:rsidRPr="00AD341E" w:rsidRDefault="00AD341E" w:rsidP="00AD341E">
      <w:pPr>
        <w:widowControl w:val="0"/>
        <w:spacing w:after="0" w:line="360" w:lineRule="auto"/>
        <w:ind w:firstLine="567"/>
        <w:jc w:val="both"/>
        <w:rPr>
          <w:rFonts w:eastAsia="Times New Roman"/>
          <w:kern w:val="0"/>
          <w:szCs w:val="28"/>
          <w:lang w:val="uz-Cyrl-UZ" w:eastAsia="ru-RU"/>
        </w:rPr>
      </w:pPr>
      <w:r w:rsidRPr="00AD341E">
        <w:rPr>
          <w:rFonts w:eastAsia="Times New Roman"/>
          <w:kern w:val="0"/>
          <w:szCs w:val="28"/>
          <w:lang w:val="uz-Cyrl-UZ" w:eastAsia="ru-RU"/>
        </w:rPr>
        <w:t>1. Правовые и нормативные решения: права и привилегии законных инвесторов, управление организациями, полномочия и лицензии регулирующих органов, регулирующие органы, новые законы и аргументы в пользу регулирования, открывающие перспективы для регулирующих органов или улучшающие существующие.</w:t>
      </w:r>
    </w:p>
    <w:p w:rsidR="00AD341E" w:rsidRPr="00AD341E" w:rsidRDefault="00AD341E" w:rsidP="00AD341E">
      <w:pPr>
        <w:widowControl w:val="0"/>
        <w:spacing w:after="0" w:line="360" w:lineRule="auto"/>
        <w:ind w:firstLine="567"/>
        <w:jc w:val="both"/>
        <w:rPr>
          <w:rFonts w:eastAsia="Times New Roman"/>
          <w:kern w:val="0"/>
          <w:szCs w:val="28"/>
          <w:lang w:val="uz-Cyrl-UZ" w:eastAsia="ru-RU"/>
        </w:rPr>
      </w:pPr>
      <w:r w:rsidRPr="00AD341E">
        <w:rPr>
          <w:rFonts w:eastAsia="Times New Roman"/>
          <w:kern w:val="0"/>
          <w:szCs w:val="28"/>
          <w:lang w:val="uz-Cyrl-UZ" w:eastAsia="ru-RU"/>
        </w:rPr>
        <w:t>2. Специальные функции агроэкономических зон: экономическое развитие и развитие рынка, развитие сельскохозяйственного сектора и инфраструктуры, а также специальное экономическое развитие сельскохозяйственных зон. Убытки могут затруднить привлечение инвесторов.</w:t>
      </w:r>
    </w:p>
    <w:p w:rsidR="00AD341E" w:rsidRPr="00AD341E" w:rsidRDefault="00AD341E" w:rsidP="00AD341E">
      <w:pPr>
        <w:widowControl w:val="0"/>
        <w:spacing w:after="0" w:line="360" w:lineRule="auto"/>
        <w:ind w:firstLine="567"/>
        <w:jc w:val="both"/>
        <w:rPr>
          <w:rFonts w:eastAsia="Times New Roman"/>
          <w:kern w:val="0"/>
          <w:szCs w:val="28"/>
          <w:lang w:val="uz-Cyrl-UZ" w:eastAsia="ru-RU"/>
        </w:rPr>
      </w:pPr>
      <w:r w:rsidRPr="00AD341E">
        <w:rPr>
          <w:rFonts w:eastAsia="Times New Roman"/>
          <w:kern w:val="0"/>
          <w:szCs w:val="28"/>
          <w:lang w:val="uz-Cyrl-UZ" w:eastAsia="ru-RU"/>
        </w:rPr>
        <w:t>3. Разработка финансовых стимулов: ранее предоставлялись экстренные займы, кредитные схемы, компенсации и трасты, инвестиционные фонды или инвестиционные финансовые стимулы для предоставления дополнительных финансовых ресурсов инвесторам в сельскохозяйственном секторе.</w:t>
      </w:r>
    </w:p>
    <w:p w:rsidR="00AD341E" w:rsidRPr="00AD341E" w:rsidRDefault="00AD341E" w:rsidP="00AD341E">
      <w:pPr>
        <w:widowControl w:val="0"/>
        <w:spacing w:after="0" w:line="360" w:lineRule="auto"/>
        <w:ind w:firstLine="567"/>
        <w:jc w:val="both"/>
        <w:rPr>
          <w:rFonts w:eastAsia="Times New Roman"/>
          <w:kern w:val="0"/>
          <w:szCs w:val="28"/>
          <w:lang w:val="uz-Cyrl-UZ" w:eastAsia="ru-RU"/>
        </w:rPr>
      </w:pPr>
      <w:r w:rsidRPr="00AD341E">
        <w:rPr>
          <w:rFonts w:eastAsia="Times New Roman"/>
          <w:kern w:val="0"/>
          <w:szCs w:val="28"/>
          <w:lang w:val="uz-Cyrl-UZ" w:eastAsia="ru-RU"/>
        </w:rPr>
        <w:t>4. Сельскохозяйственное сотрудничество в области технологий, производства и освоения ресурсов, содействие технологическим инновациям, стимулирование экономического развития по сравнению с крупными отраслями экономики и привлечение инвестиций из-за рубежа.</w:t>
      </w:r>
    </w:p>
    <w:p w:rsidR="00AD341E" w:rsidRPr="00AD341E" w:rsidRDefault="00AD341E" w:rsidP="00AD341E">
      <w:pPr>
        <w:widowControl w:val="0"/>
        <w:spacing w:after="0" w:line="360" w:lineRule="auto"/>
        <w:ind w:firstLine="567"/>
        <w:jc w:val="both"/>
        <w:rPr>
          <w:rFonts w:eastAsia="Times New Roman"/>
          <w:kern w:val="0"/>
          <w:szCs w:val="28"/>
          <w:lang w:val="uz-Cyrl-UZ" w:eastAsia="ru-RU"/>
        </w:rPr>
      </w:pPr>
      <w:r w:rsidRPr="00AD341E">
        <w:rPr>
          <w:rFonts w:eastAsia="Times New Roman"/>
          <w:kern w:val="0"/>
          <w:szCs w:val="28"/>
          <w:lang w:val="uz-Cyrl-UZ" w:eastAsia="ru-RU"/>
        </w:rPr>
        <w:t xml:space="preserve">«Железная Рату», «Женские датари» и «Молодежные датари» — это пятилетние дети, ответственные за развитие образования и экономической </w:t>
      </w:r>
      <w:r w:rsidRPr="00AD341E">
        <w:rPr>
          <w:rFonts w:eastAsia="Times New Roman"/>
          <w:kern w:val="0"/>
          <w:szCs w:val="28"/>
          <w:lang w:val="uz-Cyrl-UZ" w:eastAsia="ru-RU"/>
        </w:rPr>
        <w:lastRenderedPageBreak/>
        <w:t>интеграции. Таким образом, осуществлялся мониторинг финансовой автономии с целью повышения интереса к сельскохозяйственному производству и содействия экономическому развитию страны, а также эффективного использования ресурсов.</w:t>
      </w:r>
    </w:p>
    <w:p w:rsidR="00AD341E" w:rsidRPr="00AD341E" w:rsidRDefault="00AD341E" w:rsidP="00AD341E">
      <w:pPr>
        <w:widowControl w:val="0"/>
        <w:spacing w:after="0" w:line="360" w:lineRule="auto"/>
        <w:ind w:firstLine="567"/>
        <w:jc w:val="both"/>
        <w:rPr>
          <w:rFonts w:eastAsia="Times New Roman"/>
          <w:kern w:val="0"/>
          <w:szCs w:val="28"/>
          <w:lang w:val="uz-Cyrl-UZ" w:eastAsia="ru-RU"/>
        </w:rPr>
      </w:pPr>
      <w:r w:rsidRPr="00AD341E">
        <w:rPr>
          <w:rFonts w:eastAsia="Times New Roman"/>
          <w:kern w:val="0"/>
          <w:szCs w:val="28"/>
          <w:lang w:val="uz-Cyrl-UZ" w:eastAsia="ru-RU"/>
        </w:rPr>
        <w:t>Признание приобретенного в кредитном или лизинговом объединении оборудования в качестве залога, 100% страхового полиса или сельскохозяйственного финансирования под поручительство является инновацией в финансовом секторе сельскохозяйственной техники. Эти механизмы используются мелкими и средними фермерами для доступа к кредитным ресурсам, которые повышают производительность, снижают финансово-технические риски и расширяют возможности приобретения современной и технически совершенной техники.</w:t>
      </w:r>
    </w:p>
    <w:p w:rsidR="00AD341E" w:rsidRPr="00AD341E" w:rsidRDefault="00AD341E" w:rsidP="00AD341E">
      <w:pPr>
        <w:widowControl w:val="0"/>
        <w:spacing w:after="0" w:line="360" w:lineRule="auto"/>
        <w:ind w:firstLine="567"/>
        <w:jc w:val="both"/>
        <w:rPr>
          <w:rFonts w:eastAsia="Times New Roman"/>
          <w:kern w:val="0"/>
          <w:szCs w:val="28"/>
          <w:lang w:val="uz-Cyrl-UZ" w:eastAsia="ru-RU"/>
        </w:rPr>
      </w:pPr>
      <w:r w:rsidRPr="00AD341E">
        <w:rPr>
          <w:rFonts w:eastAsia="Times New Roman"/>
          <w:kern w:val="0"/>
          <w:szCs w:val="28"/>
          <w:lang w:val="uz-Cyrl-UZ" w:eastAsia="ru-RU"/>
        </w:rPr>
        <w:t>Система отсрочки уплаты НДС на импорт сельскохозяйственной техники, номеров технического обслуживания и комплектующих до 120 дней позволит этим предприятиям сохранить ликвидность. Производителям данной продукции не разрешается перенимать технологии, возможно, используемые в английском производстве, а также интегрировать их в коммерческое производство и технологии.</w:t>
      </w:r>
    </w:p>
    <w:p w:rsidR="00AD341E" w:rsidRPr="00AD341E" w:rsidRDefault="00AD341E" w:rsidP="00AD341E">
      <w:pPr>
        <w:widowControl w:val="0"/>
        <w:spacing w:after="0" w:line="360" w:lineRule="auto"/>
        <w:ind w:firstLine="567"/>
        <w:jc w:val="both"/>
        <w:rPr>
          <w:rFonts w:eastAsia="Times New Roman"/>
          <w:kern w:val="0"/>
          <w:szCs w:val="28"/>
          <w:lang w:val="uz-Cyrl-UZ" w:eastAsia="ru-RU"/>
        </w:rPr>
      </w:pPr>
      <w:r w:rsidRPr="00AD341E">
        <w:rPr>
          <w:rFonts w:eastAsia="Times New Roman"/>
          <w:kern w:val="0"/>
          <w:szCs w:val="28"/>
          <w:lang w:val="uz-Cyrl-UZ" w:eastAsia="ru-RU"/>
        </w:rPr>
        <w:t>Четырехкратное увеличение государственных бюджетных кредитных инвестиций в управление финансовыми рисками и техническое развитие финансовых механизмов в 10 раз превышает средневзвешенную процентную ставку. Поддерживающая техника позволила создать жилищно-кредитное объединение для поддержания субъектов в надлежащем финансовом состоянии, управлять новым этапом развития шейхства и моделировать государство.</w:t>
      </w:r>
    </w:p>
    <w:p w:rsidR="00AD341E" w:rsidRPr="00AD341E" w:rsidRDefault="00AD341E" w:rsidP="00AD341E">
      <w:pPr>
        <w:widowControl w:val="0"/>
        <w:spacing w:after="0" w:line="360" w:lineRule="auto"/>
        <w:ind w:firstLine="567"/>
        <w:jc w:val="both"/>
        <w:rPr>
          <w:rFonts w:eastAsia="Times New Roman"/>
          <w:kern w:val="0"/>
          <w:szCs w:val="28"/>
          <w:lang w:val="uz-Cyrl-UZ" w:eastAsia="ru-RU"/>
        </w:rPr>
      </w:pPr>
      <w:r w:rsidRPr="00AD341E">
        <w:rPr>
          <w:rFonts w:eastAsia="Times New Roman"/>
          <w:kern w:val="0"/>
          <w:szCs w:val="28"/>
          <w:lang w:val="uz-Cyrl-UZ" w:eastAsia="ru-RU"/>
        </w:rPr>
        <w:t xml:space="preserve">Модернизация, диверсификация и владение сельскохозяйственной и продовольственной цепочкой, сельскохозяйственными ресурсами, особенно сельскохозяйственными инвестициями, и стратегиями государственной безопасности – это столпы экономического развития, достижения институциональных целей экономического развития и поддержки </w:t>
      </w:r>
      <w:r w:rsidRPr="00AD341E">
        <w:rPr>
          <w:rFonts w:eastAsia="Times New Roman"/>
          <w:kern w:val="0"/>
          <w:szCs w:val="28"/>
          <w:lang w:val="uz-Cyrl-UZ" w:eastAsia="ru-RU"/>
        </w:rPr>
        <w:lastRenderedPageBreak/>
        <w:t>социального развития. Эти политики направлены на извлечение выгоды из инвестиций, увеличение доходности инвестиций и укрепление сельского хозяйства.</w:t>
      </w:r>
    </w:p>
    <w:p w:rsidR="00AD341E" w:rsidRPr="00AD341E" w:rsidRDefault="00AD341E" w:rsidP="00AD341E">
      <w:pPr>
        <w:widowControl w:val="0"/>
        <w:spacing w:after="0" w:line="360" w:lineRule="auto"/>
        <w:ind w:firstLine="567"/>
        <w:jc w:val="both"/>
        <w:rPr>
          <w:rFonts w:eastAsia="Times New Roman"/>
          <w:kern w:val="0"/>
          <w:szCs w:val="28"/>
          <w:lang w:val="uz-Cyrl-UZ" w:eastAsia="ru-RU"/>
        </w:rPr>
      </w:pPr>
      <w:r w:rsidRPr="00AD341E">
        <w:rPr>
          <w:rFonts w:eastAsia="Times New Roman"/>
          <w:kern w:val="0"/>
          <w:szCs w:val="28"/>
          <w:lang w:val="uz-Cyrl-UZ" w:eastAsia="ru-RU"/>
        </w:rPr>
        <w:t>В контексте модернизации сельского хозяйства важно стимулировать экономический рост и развитие, стимулировать инвестиции и инновации. Объединение лучших проектов, перечисленных выше, предоставляет возможность обеспечить это, принося пользу сельскохозяйственному сектору, способствуя инвестициям в образование и развитие местных сообществ; необходимы местные проекты, отказывающиеся от традиционных подходов и внедряющие новые, технологические разработки в социально-экономическом развитии.</w:t>
      </w:r>
    </w:p>
    <w:p w:rsidR="00AD341E" w:rsidRPr="00AD341E" w:rsidRDefault="00AD341E" w:rsidP="00AD341E">
      <w:pPr>
        <w:widowControl w:val="0"/>
        <w:spacing w:after="0" w:line="360" w:lineRule="auto"/>
        <w:ind w:firstLine="567"/>
        <w:jc w:val="both"/>
        <w:rPr>
          <w:rFonts w:eastAsia="Times New Roman"/>
          <w:kern w:val="0"/>
          <w:szCs w:val="28"/>
          <w:lang w:val="uz-Cyrl-UZ" w:eastAsia="ru-RU"/>
        </w:rPr>
      </w:pPr>
      <w:r w:rsidRPr="00AD341E">
        <w:rPr>
          <w:rFonts w:eastAsia="Times New Roman"/>
          <w:kern w:val="0"/>
          <w:szCs w:val="28"/>
          <w:lang w:val="uz-Cyrl-UZ" w:eastAsia="ru-RU"/>
        </w:rPr>
        <w:t>Будущее страны и основы ее экономической интеграции должны быть более продуманными. Важной поддержкой для мелких фермеров являются методы привлечения финансовых ресурсов, такие как самофинансирование и предварительное финансирование, а также кредитные механизмы страховых ассоциаций. Кроме того, будут повышаться отсрочка уплаты НДС на импортное техническое оборудование, государственные инновации, экономическая конкуренция и специальные инвестиции в производство товаров и услуг, технико-технологическое развитие сельскохозяйственного производства, экономическое развитие и инвестиционная привлекательность сектора.</w:t>
      </w:r>
    </w:p>
    <w:p w:rsidR="001F06BB" w:rsidRPr="000A1A9F" w:rsidRDefault="00AD341E" w:rsidP="00AD341E">
      <w:pPr>
        <w:widowControl w:val="0"/>
        <w:spacing w:after="0" w:line="360" w:lineRule="auto"/>
        <w:ind w:firstLine="567"/>
        <w:jc w:val="both"/>
        <w:rPr>
          <w:rFonts w:eastAsia="Times New Roman"/>
          <w:szCs w:val="20"/>
          <w:lang w:val="bg-BG" w:eastAsia="ru-RU"/>
        </w:rPr>
      </w:pPr>
      <w:r w:rsidRPr="00AD341E">
        <w:rPr>
          <w:rFonts w:eastAsia="Times New Roman"/>
          <w:kern w:val="0"/>
          <w:szCs w:val="28"/>
          <w:lang w:val="uz-Cyrl-UZ" w:eastAsia="ru-RU"/>
        </w:rPr>
        <w:t xml:space="preserve">Короче говоря, эти нововведения будут стимулировать инвестиционную активность в сельском хозяйстве, возможно, даже общий экономический рост, производство продуктов питания и региональную безопасность. Эти обязанности основаны на институциональном капитале страны, сельскохозяйственные инвестиции являются устойчивыми, а роль джихадистов повышается </w:t>
      </w:r>
      <w:r w:rsidR="001F06BB" w:rsidRPr="000A1A9F">
        <w:rPr>
          <w:rFonts w:eastAsia="Times New Roman"/>
          <w:szCs w:val="20"/>
          <w:lang w:val="bg-BG" w:eastAsia="ru-RU"/>
        </w:rPr>
        <w:t>.</w:t>
      </w:r>
    </w:p>
    <w:p w:rsidR="00C612D4" w:rsidRPr="00E37301" w:rsidRDefault="00C612D4" w:rsidP="001F06BB">
      <w:pPr>
        <w:tabs>
          <w:tab w:val="left" w:pos="0"/>
          <w:tab w:val="left" w:pos="993"/>
        </w:tabs>
        <w:spacing w:after="0" w:line="360" w:lineRule="auto"/>
        <w:jc w:val="both"/>
        <w:rPr>
          <w:rFonts w:eastAsia="Times New Roman"/>
          <w:bCs/>
          <w:color w:val="000000"/>
          <w:kern w:val="0"/>
          <w:szCs w:val="28"/>
          <w:shd w:val="clear" w:color="auto" w:fill="FFFFFF"/>
          <w:lang w:val="uz-Cyrl-UZ" w:eastAsia="ru-RU"/>
        </w:rPr>
      </w:pPr>
    </w:p>
    <w:p w:rsidR="00030DB9" w:rsidRPr="009249CD" w:rsidRDefault="00030DB9" w:rsidP="001F06BB">
      <w:pPr>
        <w:pStyle w:val="a7"/>
        <w:spacing w:after="0" w:line="360" w:lineRule="auto"/>
        <w:ind w:left="0"/>
        <w:jc w:val="center"/>
        <w:rPr>
          <w:b/>
          <w:kern w:val="0"/>
          <w:szCs w:val="28"/>
          <w:lang w:val="uz-Cyrl-UZ"/>
        </w:rPr>
      </w:pPr>
      <w:r w:rsidRPr="00030DB9">
        <w:rPr>
          <w:b/>
          <w:kern w:val="0"/>
          <w:szCs w:val="28"/>
          <w:lang w:val="uz-Cyrl-UZ"/>
        </w:rPr>
        <w:t>Выводы по третьей главе</w:t>
      </w:r>
    </w:p>
    <w:p w:rsidR="00AD341E" w:rsidRPr="00AD341E" w:rsidRDefault="00AD341E" w:rsidP="00AD341E">
      <w:pPr>
        <w:spacing w:after="0" w:line="360" w:lineRule="auto"/>
        <w:ind w:firstLine="720"/>
        <w:jc w:val="both"/>
        <w:rPr>
          <w:kern w:val="0"/>
          <w:lang w:val="uz-Cyrl-UZ"/>
        </w:rPr>
      </w:pPr>
      <w:r w:rsidRPr="00AD341E">
        <w:rPr>
          <w:kern w:val="0"/>
          <w:lang w:val="uz-Cyrl-UZ"/>
        </w:rPr>
        <w:lastRenderedPageBreak/>
        <w:t>Сельскохозяйственное сотрудничество в целях развития инфраструктуры, укрепления развития государственного сектора, развития государственного и частного образования, учета и мониторинга изменений в развитии, распределения оливкового сиропа в убыточные периоды. Эти сельскохозяйственные усилия сосредоточены на роли инвестиций в планирование обучения и влиянии конкурентоспособности и устойчивого развития на развитие молодежи. На основе развития духовности и электроснабжения, а также демонстрации экономики Узбекистана, рассматриваются возможности инвестирования в обучение, рентабельность бизнеса и туризм.</w:t>
      </w:r>
    </w:p>
    <w:p w:rsidR="00AD341E" w:rsidRPr="00AD341E" w:rsidRDefault="00AD341E" w:rsidP="00AD341E">
      <w:pPr>
        <w:spacing w:after="0" w:line="360" w:lineRule="auto"/>
        <w:ind w:firstLine="720"/>
        <w:jc w:val="both"/>
        <w:rPr>
          <w:kern w:val="0"/>
          <w:lang w:val="uz-Cyrl-UZ"/>
        </w:rPr>
      </w:pPr>
    </w:p>
    <w:p w:rsidR="00AD341E" w:rsidRPr="00AD341E" w:rsidRDefault="00AD341E" w:rsidP="00AD341E">
      <w:pPr>
        <w:spacing w:after="0" w:line="360" w:lineRule="auto"/>
        <w:ind w:firstLine="720"/>
        <w:jc w:val="both"/>
        <w:rPr>
          <w:kern w:val="0"/>
          <w:lang w:val="uz-Cyrl-UZ"/>
        </w:rPr>
      </w:pPr>
      <w:r w:rsidRPr="00AD341E">
        <w:rPr>
          <w:kern w:val="0"/>
          <w:lang w:val="uz-Cyrl-UZ"/>
        </w:rPr>
        <w:t>В период роста производительности также необходимо поддерживать инвестиции в исследования в области сельского хозяйства и учитывать влияние исследований на факторы и объемы производства: сильные технологические инновации в сельском хозяйстве, зависть и ревность; капитальные фонды Ассоциации сельскохозяйственных банков; этнические группы сельскохозяйственного сырья, очень сильные показатели прошлых лет; этнические группы производственных мощностей; укрепление инвестиций и инвестиционных ресурсов в секторе развития; технологические угрозы и экспорт стран, зависящих от сахарной промышленности; отсутствие широкого внедрения рыночной продукции в закупку и продажу сельскохозяйственной продукции и другие факторы.</w:t>
      </w:r>
    </w:p>
    <w:p w:rsidR="00AD341E" w:rsidRPr="00AD341E" w:rsidRDefault="00AD341E" w:rsidP="00AD341E">
      <w:pPr>
        <w:spacing w:after="0" w:line="360" w:lineRule="auto"/>
        <w:ind w:firstLine="720"/>
        <w:jc w:val="both"/>
        <w:rPr>
          <w:kern w:val="0"/>
          <w:lang w:val="uz-Cyrl-UZ"/>
        </w:rPr>
      </w:pPr>
    </w:p>
    <w:p w:rsidR="00AD341E" w:rsidRPr="00AD341E" w:rsidRDefault="00AD341E" w:rsidP="00AD341E">
      <w:pPr>
        <w:spacing w:after="0" w:line="360" w:lineRule="auto"/>
        <w:ind w:firstLine="720"/>
        <w:jc w:val="both"/>
        <w:rPr>
          <w:kern w:val="0"/>
          <w:lang w:val="uz-Cyrl-UZ"/>
        </w:rPr>
      </w:pPr>
      <w:r w:rsidRPr="00AD341E">
        <w:rPr>
          <w:kern w:val="0"/>
          <w:lang w:val="uz-Cyrl-UZ"/>
        </w:rPr>
        <w:t>Корреляция между государственными инвестициями в образование и кредитными рейтингами компаний, оцениваемыми с точки зрения глобального экономического роста, является значимой (R2=0,8877), и инвестиции в образование и кредитование связаны с влиянием компании на глобальную экономику. Добавьте 0,37 бирр в объеме или цене.</w:t>
      </w:r>
    </w:p>
    <w:p w:rsidR="00AD341E" w:rsidRPr="00AD341E" w:rsidRDefault="00AD341E" w:rsidP="00AD341E">
      <w:pPr>
        <w:spacing w:after="0" w:line="360" w:lineRule="auto"/>
        <w:ind w:firstLine="720"/>
        <w:jc w:val="both"/>
        <w:rPr>
          <w:kern w:val="0"/>
          <w:lang w:val="uz-Cyrl-UZ"/>
        </w:rPr>
      </w:pPr>
    </w:p>
    <w:p w:rsidR="00AD341E" w:rsidRPr="00AD341E" w:rsidRDefault="00AD341E" w:rsidP="00AD341E">
      <w:pPr>
        <w:spacing w:after="0" w:line="360" w:lineRule="auto"/>
        <w:ind w:firstLine="720"/>
        <w:jc w:val="both"/>
        <w:rPr>
          <w:kern w:val="0"/>
          <w:lang w:val="uz-Cyrl-UZ"/>
        </w:rPr>
      </w:pPr>
      <w:r w:rsidRPr="00AD341E">
        <w:rPr>
          <w:kern w:val="0"/>
          <w:lang w:val="uz-Cyrl-UZ"/>
        </w:rPr>
        <w:lastRenderedPageBreak/>
        <w:t>Сельскохозяйственный сектор является стратегической опорой экономики Узбекистана, что делает инвестиции в развитие сельского хозяйства более привлекательными. Помимо привлечения инвесторов, страна проявляет большой интерес к интеграции финансовых услуг. Правозащитники, военные власти, силы, занимающиеся развитием инфраструктуры и цифрового управления, пользуются уважением и способны бороться с глобальным потеплением.</w:t>
      </w:r>
    </w:p>
    <w:p w:rsidR="00262CB8" w:rsidRPr="00E46DF0" w:rsidRDefault="00AD341E" w:rsidP="00AD341E">
      <w:pPr>
        <w:spacing w:after="0" w:line="360" w:lineRule="auto"/>
        <w:ind w:firstLine="720"/>
        <w:jc w:val="both"/>
        <w:rPr>
          <w:kern w:val="0"/>
          <w:lang w:val="uz-Cyrl-UZ"/>
        </w:rPr>
      </w:pPr>
      <w:r w:rsidRPr="00AD341E">
        <w:rPr>
          <w:kern w:val="0"/>
          <w:lang w:val="uz-Cyrl-UZ"/>
        </w:rPr>
        <w:t>Продовольственная безопасность, охрана окружающей среды и устойчивое развитие сельского хозяйства стали сегодня насущными проблемами в мире. Келиб Чикиб, опытный предприниматель из Узбекистана, является представителем сельскохозяйственного сектора. Одним из важнейших вопросов является привлечение крупных инвестиций и получение выгод от экономического роста, возможно, за счет повышения производительности, обеспечения экспортной безопасности и уровня инноваций в Бельгии. Прямые иностранные инвестиции являются ключевым фактором развития узбекской экономики, конкурентоспособности и инклюзивности как основы для развития женщин. Кроме того, потенциал инновационной и микроинвестиционной экосистемы позволит сельскохозяйственному сектору извлечь выгоду из решения существующих проблем, а также из глобального спроса и регулирования, что может способствовать увеличению экономического роста.</w:t>
      </w:r>
    </w:p>
    <w:p w:rsidR="00030DB9" w:rsidRPr="00030DB9" w:rsidRDefault="00030DB9" w:rsidP="00030DB9">
      <w:pPr>
        <w:pStyle w:val="a7"/>
        <w:spacing w:after="0" w:line="360" w:lineRule="auto"/>
        <w:ind w:left="1144"/>
        <w:jc w:val="both"/>
        <w:rPr>
          <w:bCs/>
          <w:color w:val="000000"/>
          <w:kern w:val="0"/>
          <w:szCs w:val="28"/>
          <w:shd w:val="clear" w:color="auto" w:fill="FFFFFF"/>
          <w:lang w:val="uz-Cyrl-UZ"/>
        </w:rPr>
      </w:pPr>
    </w:p>
    <w:p w:rsidR="001F06BB" w:rsidRDefault="001F06BB" w:rsidP="001F06BB">
      <w:pPr>
        <w:widowControl w:val="0"/>
        <w:spacing w:after="120" w:line="360" w:lineRule="auto"/>
        <w:jc w:val="center"/>
        <w:rPr>
          <w:rFonts w:eastAsia="Times New Roman"/>
          <w:b/>
          <w:szCs w:val="28"/>
          <w:lang w:val="uz-Cyrl-UZ" w:eastAsia="ru-RU"/>
        </w:rPr>
      </w:pPr>
    </w:p>
    <w:p w:rsidR="00AD341E" w:rsidRDefault="00AD341E" w:rsidP="001F06BB">
      <w:pPr>
        <w:widowControl w:val="0"/>
        <w:spacing w:after="120" w:line="360" w:lineRule="auto"/>
        <w:jc w:val="center"/>
        <w:rPr>
          <w:rFonts w:eastAsia="Times New Roman"/>
          <w:b/>
          <w:szCs w:val="28"/>
          <w:lang w:val="uz-Cyrl-UZ" w:eastAsia="ru-RU"/>
        </w:rPr>
      </w:pPr>
    </w:p>
    <w:p w:rsidR="00AD341E" w:rsidRDefault="00AD341E" w:rsidP="001F06BB">
      <w:pPr>
        <w:widowControl w:val="0"/>
        <w:spacing w:after="120" w:line="360" w:lineRule="auto"/>
        <w:jc w:val="center"/>
        <w:rPr>
          <w:rFonts w:eastAsia="Times New Roman"/>
          <w:b/>
          <w:szCs w:val="28"/>
          <w:lang w:val="uz-Cyrl-UZ" w:eastAsia="ru-RU"/>
        </w:rPr>
      </w:pPr>
    </w:p>
    <w:p w:rsidR="001F06BB" w:rsidRPr="000A1A9F" w:rsidRDefault="001F06BB" w:rsidP="001F06BB">
      <w:pPr>
        <w:widowControl w:val="0"/>
        <w:spacing w:after="120" w:line="360" w:lineRule="auto"/>
        <w:jc w:val="center"/>
        <w:rPr>
          <w:rFonts w:eastAsia="Times New Roman"/>
          <w:b/>
          <w:szCs w:val="28"/>
          <w:lang w:val="uz-Cyrl-UZ" w:eastAsia="ru-RU"/>
        </w:rPr>
      </w:pPr>
      <w:r w:rsidRPr="000A1A9F">
        <w:rPr>
          <w:rFonts w:eastAsia="Times New Roman"/>
          <w:b/>
          <w:szCs w:val="28"/>
          <w:lang w:val="uz-Cyrl-UZ" w:eastAsia="ru-RU"/>
        </w:rPr>
        <w:t>ЗАКЛЮЧЕНИЕ</w:t>
      </w:r>
    </w:p>
    <w:p w:rsidR="00AD341E" w:rsidRPr="00E46DF0" w:rsidRDefault="00AD341E" w:rsidP="00AD341E">
      <w:pPr>
        <w:widowControl w:val="0"/>
        <w:tabs>
          <w:tab w:val="left" w:pos="709"/>
          <w:tab w:val="left" w:pos="851"/>
        </w:tabs>
        <w:spacing w:after="0" w:line="360" w:lineRule="auto"/>
        <w:ind w:firstLine="720"/>
        <w:jc w:val="both"/>
        <w:rPr>
          <w:szCs w:val="28"/>
          <w:lang w:val="uz-Cyrl-UZ" w:eastAsia="ru-RU"/>
        </w:rPr>
      </w:pPr>
      <w:r w:rsidRPr="00E46DF0">
        <w:rPr>
          <w:szCs w:val="28"/>
          <w:lang w:val="uz-Cyrl-UZ" w:eastAsia="ru-RU"/>
        </w:rPr>
        <w:t>Доля инвестиций в сельскохозяйственные интересы на рынках труда в промышленно развитых сельскохозяйственных странах:</w:t>
      </w:r>
    </w:p>
    <w:p w:rsidR="00AD341E" w:rsidRPr="00DF774B" w:rsidRDefault="00AD341E" w:rsidP="00AD341E">
      <w:pPr>
        <w:widowControl w:val="0"/>
        <w:tabs>
          <w:tab w:val="left" w:pos="709"/>
          <w:tab w:val="left" w:pos="851"/>
        </w:tabs>
        <w:spacing w:after="0" w:line="360" w:lineRule="auto"/>
        <w:ind w:firstLine="720"/>
        <w:jc w:val="both"/>
        <w:rPr>
          <w:szCs w:val="28"/>
          <w:lang w:val="ru-RU" w:eastAsia="ru-RU"/>
        </w:rPr>
      </w:pPr>
      <w:r w:rsidRPr="00DF774B">
        <w:rPr>
          <w:szCs w:val="28"/>
          <w:lang w:val="ru-RU" w:eastAsia="ru-RU"/>
        </w:rPr>
        <w:t xml:space="preserve">1. Инвестиционная привлекательность агросектора – надежная </w:t>
      </w:r>
      <w:r w:rsidRPr="00DF774B">
        <w:rPr>
          <w:szCs w:val="28"/>
          <w:lang w:val="ru-RU" w:eastAsia="ru-RU"/>
        </w:rPr>
        <w:lastRenderedPageBreak/>
        <w:t>инвестиционная ассоциация. Основой служат научно обоснованные теоретические подходы к развитию экономики, ресурсоэффективности и инновациям. Инвестиции и модернизационные работы на китайском острове сравниваются с капитальными проектами. А агропромышленный сектор рассчитывает свой риск-рейтинг и долгосрочную рентабельность, исходя из рискового актива. Поэтому необходимо продолжать инвестировать в эти активы.</w:t>
      </w:r>
    </w:p>
    <w:p w:rsidR="00AD341E" w:rsidRPr="00DF774B" w:rsidRDefault="00AD341E" w:rsidP="00AD341E">
      <w:pPr>
        <w:widowControl w:val="0"/>
        <w:tabs>
          <w:tab w:val="left" w:pos="709"/>
          <w:tab w:val="left" w:pos="851"/>
        </w:tabs>
        <w:spacing w:after="0" w:line="360" w:lineRule="auto"/>
        <w:ind w:firstLine="720"/>
        <w:jc w:val="both"/>
        <w:rPr>
          <w:szCs w:val="28"/>
          <w:lang w:val="ru-RU" w:eastAsia="ru-RU"/>
        </w:rPr>
      </w:pPr>
      <w:r w:rsidRPr="00DF774B">
        <w:rPr>
          <w:szCs w:val="28"/>
          <w:lang w:val="ru-RU" w:eastAsia="ru-RU"/>
        </w:rPr>
        <w:t>2. Нормативно-правовые принципы играют важную роль в обеспечении привлекательности сельскохозяйственных инвестиций. В обеспечении привлекательности сельскохозяйственных инвестиций решающие решения по регулированию частных инвестиций с помощью законов, правовых оснований и государственных нормативных актов являются причинами, по которым этот сектор силен в интересах инвесторов. Развитие сельскохозяйственного сектора осуществлялось по экспериментальным критериям: проверка земельных ресурсов, зависимость производства от природных условий и долгосрочные инвестиционные требования, а также сильная и благоприятная нормативно-правовая база являются важными техническими требованиями. Кроме того, инвесторы участвовали в развитии рынков и кредитных механизмов, а также правовых механизмов. В этом заключается экономическая сила сельскохозяйственного сектора в стране, которая достигается за счет его устойчивости и конкурентоспособности.</w:t>
      </w:r>
    </w:p>
    <w:p w:rsidR="00AD341E" w:rsidRPr="00DF774B" w:rsidRDefault="00AD341E" w:rsidP="00AD341E">
      <w:pPr>
        <w:widowControl w:val="0"/>
        <w:tabs>
          <w:tab w:val="left" w:pos="709"/>
          <w:tab w:val="left" w:pos="851"/>
        </w:tabs>
        <w:spacing w:after="0" w:line="360" w:lineRule="auto"/>
        <w:ind w:firstLine="720"/>
        <w:jc w:val="both"/>
        <w:rPr>
          <w:szCs w:val="28"/>
          <w:lang w:val="ru-RU" w:eastAsia="ru-RU"/>
        </w:rPr>
      </w:pPr>
      <w:r w:rsidRPr="00DF774B">
        <w:rPr>
          <w:szCs w:val="28"/>
          <w:lang w:val="ru-RU" w:eastAsia="ru-RU"/>
        </w:rPr>
        <w:t xml:space="preserve">3. Опыт студентов в сельском хозяйстве способствует формированию экономических механизмов и инновационных потоков, что является важной основой для развития аграрного сектора. В развивающихся странах и странах с переходной экономикой для стимулирования инвестиций в сельское хозяйство создаются государственные и частные финансовые институты, государственные и частные инвестиционные институты, институты инвестиций в передовые технологии. Таким образом, существуют механизмы, побуждающие инвесторов использовать рыночные стимулы, гранты, субсидии и кредитные возможности. Опыт иностранных специалистов в Узбекистане </w:t>
      </w:r>
      <w:r w:rsidRPr="00DF774B">
        <w:rPr>
          <w:szCs w:val="28"/>
          <w:lang w:val="ru-RU" w:eastAsia="ru-RU"/>
        </w:rPr>
        <w:lastRenderedPageBreak/>
        <w:t>является важным направлением модернизации сельского хозяйства и инвестиционного сотрудничества. Таким образом, трансформация и развитие международных отношений являются сферой устойчивого развития аграрного сектора.</w:t>
      </w:r>
    </w:p>
    <w:p w:rsidR="00AD341E" w:rsidRPr="00DF774B" w:rsidRDefault="00AD341E" w:rsidP="00AD341E">
      <w:pPr>
        <w:widowControl w:val="0"/>
        <w:tabs>
          <w:tab w:val="left" w:pos="709"/>
          <w:tab w:val="left" w:pos="851"/>
        </w:tabs>
        <w:spacing w:after="0" w:line="360" w:lineRule="auto"/>
        <w:ind w:firstLine="720"/>
        <w:jc w:val="both"/>
        <w:rPr>
          <w:szCs w:val="28"/>
          <w:lang w:val="ru-RU" w:eastAsia="ru-RU"/>
        </w:rPr>
      </w:pPr>
      <w:r w:rsidRPr="00DF774B">
        <w:rPr>
          <w:szCs w:val="28"/>
          <w:lang w:val="ru-RU" w:eastAsia="ru-RU"/>
        </w:rPr>
        <w:t>4. Эконометрические модели модернизируют сельскохозяйственные инвестиции, позволяя анализировать инвестиционные риски на рынке и выявлять возможности роста и развития. «Этот подход» представляет собой механизм и организацию для обучения инвесторов, которая помогает прогнозировать инвестиционные решения. В Великобритании эконометрический анализ исходных вопросов, таких как уравнения, кредитные условия, сельскохозяйственная политика, государственный долг и факторы, влияющие на рост инвестиционного дохода, позволяет оптимизировать эти параметры для улучшения инвестиционных возможностей в сельскохозяйственном секторе. Кроме того, результаты политического развития государства и эффекта масштаба служат моделью для формирования имперского существования. Именно поэтому устойчивая революция основана на предложении.</w:t>
      </w:r>
    </w:p>
    <w:p w:rsidR="00AD341E" w:rsidRPr="00DF774B" w:rsidRDefault="00AD341E" w:rsidP="00AD341E">
      <w:pPr>
        <w:widowControl w:val="0"/>
        <w:tabs>
          <w:tab w:val="left" w:pos="709"/>
          <w:tab w:val="left" w:pos="851"/>
        </w:tabs>
        <w:spacing w:after="0" w:line="360" w:lineRule="auto"/>
        <w:ind w:firstLine="720"/>
        <w:jc w:val="both"/>
        <w:rPr>
          <w:szCs w:val="28"/>
          <w:lang w:val="ru-RU" w:eastAsia="ru-RU"/>
        </w:rPr>
      </w:pPr>
      <w:r w:rsidRPr="00DF774B">
        <w:rPr>
          <w:szCs w:val="28"/>
          <w:lang w:val="ru-RU" w:eastAsia="ru-RU"/>
        </w:rPr>
        <w:t>5. Сельскохозяйственный сектор играет важную роль в определении экономических и финансовых условий для привлечения инвестиций. С точки зрения инвестиций, вложения должны осуществляться в контексте глобальной экономической политики, макроэкономического развития, развития финансовых институтов и сотрудничества в условиях кризиса. Инвестиционная привлекательность является важным фактором в развитии кредитных инструментов, таких как кредитные линии, субсидии, кредитные соглашения и инвестиционные возможности. Кроме того, развитие технологий сельскохозяйственных предприятий и развитие инфраструктуры привлекательны для инвесторов. Узбекистан обладает хорошо развитой экономикой, и финансовые условия для иностранных инвестиций открыты для инвесторов. Результаты модернизации сельскохозяйственного сектора, развития сельской экономики и сельского хозяйства.</w:t>
      </w:r>
    </w:p>
    <w:p w:rsidR="00AD341E" w:rsidRPr="00AD341E" w:rsidRDefault="00AD341E" w:rsidP="00AD341E">
      <w:pPr>
        <w:widowControl w:val="0"/>
        <w:tabs>
          <w:tab w:val="left" w:pos="709"/>
          <w:tab w:val="left" w:pos="851"/>
        </w:tabs>
        <w:spacing w:after="0" w:line="360" w:lineRule="auto"/>
        <w:ind w:firstLine="720"/>
        <w:jc w:val="both"/>
        <w:rPr>
          <w:szCs w:val="28"/>
          <w:lang w:val="en-US" w:eastAsia="ru-RU"/>
        </w:rPr>
      </w:pPr>
      <w:r w:rsidRPr="00DF774B">
        <w:rPr>
          <w:szCs w:val="28"/>
          <w:lang w:val="ru-RU" w:eastAsia="ru-RU"/>
        </w:rPr>
        <w:lastRenderedPageBreak/>
        <w:t xml:space="preserve">6. Приоритетами инвестиций сельскохозяйственных кооперативов являются финансовые учреждения, включая государственные бюджеты, государственные бюджеты оптовой торговли, экспортные кредиты, коммерческие банки и частных инвесторов. Однако анализ показывает, что условия спроса на финансовые ресурсы солидарности также высоки, особенно для малых и средних фермерских хозяйств, где возможности кредитования ограничены. В системе финансирования присутствуют бюрократические должности, поручители и работники. Кроме того, старые государственные субсидии и субсидии необходимы для развития равных возможностей. Акцент делается на интеграции инновационных технологий и диверсификации производственных и управленческих инструментов. </w:t>
      </w:r>
      <w:r>
        <w:rPr>
          <w:szCs w:val="28"/>
          <w:lang w:val="en-US" w:eastAsia="ru-RU"/>
        </w:rPr>
        <w:t>Great Turk Bef to Vojlana. Together, Through Reforming Financing System, Agrarian Sector Farmers and Competitive Farmers</w:t>
      </w:r>
    </w:p>
    <w:p w:rsidR="00AD341E" w:rsidRPr="00DF774B" w:rsidRDefault="00AD341E" w:rsidP="00AD341E">
      <w:pPr>
        <w:widowControl w:val="0"/>
        <w:tabs>
          <w:tab w:val="left" w:pos="709"/>
          <w:tab w:val="left" w:pos="851"/>
        </w:tabs>
        <w:spacing w:after="0" w:line="360" w:lineRule="auto"/>
        <w:ind w:firstLine="720"/>
        <w:jc w:val="both"/>
        <w:rPr>
          <w:szCs w:val="28"/>
          <w:lang w:val="ru-RU" w:eastAsia="ru-RU"/>
        </w:rPr>
      </w:pPr>
      <w:r w:rsidRPr="00DF774B">
        <w:rPr>
          <w:szCs w:val="28"/>
          <w:lang w:val="ru-RU" w:eastAsia="ru-RU"/>
        </w:rPr>
        <w:t>7. Сельскохозяйственные инвесторы привлекают новых инвесторов, а механизмы, используемые в сфере сельскохозяйственного производства, создают равные возможности для коллективных действий и продвигают экономические приоритеты этих секторов. Для развития и интеграции необходимо более глубокое изучение научных целей, инвестирование и развитие комплекса. Примерами таких примеров являются «Темир изода», «Елик рату» и «Йошлар датари». Технический анализ отрасли, участие в НДС при импорте технологий, укрепление инноваций и привлечение специализированного капитала к фермерам, а также инициативы по поддержке инвесторов и предпринимателей – все это усугубляется модернизацией сельскохозяйственного сектора, развитием предпринимательских возможностей для отдельных фермеров и инвестиционными стимулами. В результате сельское хозяйство играет важную роль в устойчивом развитии общества и национальной экономики.</w:t>
      </w:r>
    </w:p>
    <w:p w:rsidR="00AD341E" w:rsidRPr="00DF774B" w:rsidRDefault="00AD341E" w:rsidP="00AD341E">
      <w:pPr>
        <w:widowControl w:val="0"/>
        <w:tabs>
          <w:tab w:val="left" w:pos="709"/>
          <w:tab w:val="left" w:pos="851"/>
        </w:tabs>
        <w:spacing w:after="0" w:line="360" w:lineRule="auto"/>
        <w:ind w:firstLine="720"/>
        <w:jc w:val="both"/>
        <w:rPr>
          <w:szCs w:val="28"/>
          <w:lang w:val="ru-RU" w:eastAsia="ru-RU"/>
        </w:rPr>
      </w:pPr>
      <w:r w:rsidRPr="00DF774B">
        <w:rPr>
          <w:szCs w:val="28"/>
          <w:lang w:val="ru-RU" w:eastAsia="ru-RU"/>
        </w:rPr>
        <w:t xml:space="preserve">8. Существует высокий потенциал для привлечения инвесторов в сельское хозяйство с целью расширения инвестиционных возможностей. Деятельность ассоциации включает в себя управление организационным </w:t>
      </w:r>
      <w:r w:rsidRPr="00DF774B">
        <w:rPr>
          <w:szCs w:val="28"/>
          <w:lang w:val="ru-RU" w:eastAsia="ru-RU"/>
        </w:rPr>
        <w:lastRenderedPageBreak/>
        <w:t>развитием, подбором персонала, методами распределения ресурсов, развитием бюрократии и внедрением современных технологий. Кроме того, инвесторы должны обеспечить полное и четкое информирование компаний об этих рисках. В дополнение к этим мерам необходимо укрепить государственное финансирование инвестиций через рыночные биржи, кредитные схемы, частные рынки и электронные аукционные механизмы. Также необходимо сосредоточиться на модернизации промышленных технологий, развитии финансовых услуг и упрощении процесса инвестирования для управления и принятия инвестиционных решений. Этот сельскохозяйственный сектор представляет собой возможность для развития сельского хозяйства и инвестиций.</w:t>
      </w:r>
    </w:p>
    <w:p w:rsidR="001F06BB" w:rsidRPr="00DF774B" w:rsidRDefault="00AD341E" w:rsidP="00AD341E">
      <w:pPr>
        <w:widowControl w:val="0"/>
        <w:tabs>
          <w:tab w:val="left" w:pos="709"/>
          <w:tab w:val="left" w:pos="851"/>
        </w:tabs>
        <w:spacing w:after="0" w:line="360" w:lineRule="auto"/>
        <w:ind w:firstLine="720"/>
        <w:jc w:val="both"/>
        <w:rPr>
          <w:szCs w:val="28"/>
          <w:lang w:val="ru-RU" w:eastAsia="ru-RU"/>
        </w:rPr>
      </w:pPr>
      <w:r w:rsidRPr="00DF774B">
        <w:rPr>
          <w:szCs w:val="28"/>
          <w:lang w:val="ru-RU" w:eastAsia="ru-RU"/>
        </w:rPr>
        <w:t>9. Поддержка сельского хозяйства и повышение инвестиционной привлекательности требуют стратегий и сложных организационных структур. Важными являются механизмы финансирования в Такомилле, оптовые кредиты, лизинг и субсидии в Кении. Необходимо признать роль партнера компании в привлечении инвесторов. Его ресурсы ограничены, электронные аукционы все больше ценятся инвесторами. Кроме того, инновационные технологии становятся все более мощными, что затрудняет модернизацию инфраструктуры и обеспечение равных возможностей для инвестиций. Укрепление сотрудничества между государственным и частным секторами, а также привлечение иностранных лидеров также являются приоритетными задачами. Этот процесс представляет собой сочетание развития сельского хозяйства, региональной экономики и частного сектора.</w:t>
      </w:r>
    </w:p>
    <w:p w:rsidR="00940E35" w:rsidRPr="00DF774B" w:rsidRDefault="00940E35" w:rsidP="001F06BB">
      <w:pPr>
        <w:spacing w:after="0" w:line="360" w:lineRule="auto"/>
        <w:ind w:firstLine="709"/>
        <w:jc w:val="both"/>
        <w:rPr>
          <w:bCs/>
          <w:lang w:val="ru-RU"/>
        </w:rPr>
      </w:pPr>
    </w:p>
    <w:p w:rsidR="00512FF0" w:rsidRPr="00DF774B" w:rsidRDefault="00512FF0" w:rsidP="001F06BB">
      <w:pPr>
        <w:spacing w:after="0" w:line="360" w:lineRule="auto"/>
        <w:ind w:firstLine="709"/>
        <w:jc w:val="both"/>
        <w:rPr>
          <w:bCs/>
          <w:lang w:val="ru-RU"/>
        </w:rPr>
      </w:pPr>
    </w:p>
    <w:p w:rsidR="00512FF0" w:rsidRPr="00DF774B" w:rsidRDefault="00512FF0" w:rsidP="001F06BB">
      <w:pPr>
        <w:spacing w:after="0" w:line="360" w:lineRule="auto"/>
        <w:ind w:firstLine="709"/>
        <w:jc w:val="both"/>
        <w:rPr>
          <w:bCs/>
          <w:lang w:val="ru-RU"/>
        </w:rPr>
      </w:pPr>
    </w:p>
    <w:p w:rsidR="00512FF0" w:rsidRPr="00DF774B" w:rsidRDefault="00512FF0" w:rsidP="001F06BB">
      <w:pPr>
        <w:spacing w:after="0" w:line="360" w:lineRule="auto"/>
        <w:ind w:firstLine="709"/>
        <w:jc w:val="both"/>
        <w:rPr>
          <w:bCs/>
          <w:lang w:val="ru-RU"/>
        </w:rPr>
      </w:pPr>
    </w:p>
    <w:p w:rsidR="00512FF0" w:rsidRPr="00DF774B" w:rsidRDefault="00512FF0" w:rsidP="001F06BB">
      <w:pPr>
        <w:spacing w:after="0" w:line="360" w:lineRule="auto"/>
        <w:ind w:firstLine="709"/>
        <w:jc w:val="both"/>
        <w:rPr>
          <w:bCs/>
          <w:lang w:val="ru-RU"/>
        </w:rPr>
      </w:pPr>
    </w:p>
    <w:p w:rsidR="00AD341E" w:rsidRPr="00DF774B" w:rsidRDefault="00AD341E" w:rsidP="001F06BB">
      <w:pPr>
        <w:spacing w:after="0" w:line="360" w:lineRule="auto"/>
        <w:ind w:firstLine="709"/>
        <w:jc w:val="both"/>
        <w:rPr>
          <w:bCs/>
          <w:lang w:val="ru-RU"/>
        </w:rPr>
      </w:pPr>
    </w:p>
    <w:p w:rsidR="00AD341E" w:rsidRPr="00DF774B" w:rsidRDefault="00AD341E" w:rsidP="001F06BB">
      <w:pPr>
        <w:spacing w:after="0" w:line="360" w:lineRule="auto"/>
        <w:ind w:firstLine="709"/>
        <w:jc w:val="both"/>
        <w:rPr>
          <w:bCs/>
          <w:lang w:val="ru-RU"/>
        </w:rPr>
      </w:pPr>
    </w:p>
    <w:p w:rsidR="00AD341E" w:rsidRPr="00DF774B" w:rsidRDefault="00AD341E" w:rsidP="001F06BB">
      <w:pPr>
        <w:spacing w:after="0" w:line="360" w:lineRule="auto"/>
        <w:ind w:firstLine="709"/>
        <w:jc w:val="both"/>
        <w:rPr>
          <w:bCs/>
          <w:lang w:val="ru-RU"/>
        </w:rPr>
      </w:pPr>
    </w:p>
    <w:p w:rsidR="00AD341E" w:rsidRPr="00DF774B" w:rsidRDefault="00AD341E" w:rsidP="001F06BB">
      <w:pPr>
        <w:spacing w:after="0" w:line="360" w:lineRule="auto"/>
        <w:ind w:firstLine="709"/>
        <w:jc w:val="both"/>
        <w:rPr>
          <w:bCs/>
          <w:lang w:val="ru-RU"/>
        </w:rPr>
      </w:pPr>
    </w:p>
    <w:p w:rsidR="00AD341E" w:rsidRPr="00DF774B" w:rsidRDefault="00AD341E" w:rsidP="001F06BB">
      <w:pPr>
        <w:spacing w:after="0" w:line="360" w:lineRule="auto"/>
        <w:ind w:firstLine="709"/>
        <w:jc w:val="both"/>
        <w:rPr>
          <w:bCs/>
          <w:lang w:val="ru-RU"/>
        </w:rPr>
      </w:pPr>
    </w:p>
    <w:p w:rsidR="00AD341E" w:rsidRPr="00DF774B" w:rsidRDefault="00AD341E" w:rsidP="001F06BB">
      <w:pPr>
        <w:spacing w:after="0" w:line="360" w:lineRule="auto"/>
        <w:ind w:firstLine="709"/>
        <w:jc w:val="both"/>
        <w:rPr>
          <w:bCs/>
          <w:lang w:val="ru-RU"/>
        </w:rPr>
      </w:pPr>
    </w:p>
    <w:p w:rsidR="00AD341E" w:rsidRPr="00DF774B" w:rsidRDefault="00AD341E" w:rsidP="001F06BB">
      <w:pPr>
        <w:spacing w:after="0" w:line="360" w:lineRule="auto"/>
        <w:ind w:firstLine="709"/>
        <w:jc w:val="both"/>
        <w:rPr>
          <w:bCs/>
          <w:lang w:val="ru-RU"/>
        </w:rPr>
      </w:pPr>
    </w:p>
    <w:p w:rsidR="00AD341E" w:rsidRPr="00DF774B" w:rsidRDefault="00AD341E" w:rsidP="001F06BB">
      <w:pPr>
        <w:spacing w:after="0" w:line="360" w:lineRule="auto"/>
        <w:ind w:firstLine="709"/>
        <w:jc w:val="both"/>
        <w:rPr>
          <w:bCs/>
          <w:lang w:val="ru-RU"/>
        </w:rPr>
      </w:pPr>
    </w:p>
    <w:p w:rsidR="00512FF0" w:rsidRPr="00DF774B" w:rsidRDefault="00512FF0" w:rsidP="001F06BB">
      <w:pPr>
        <w:spacing w:after="0" w:line="360" w:lineRule="auto"/>
        <w:ind w:firstLine="709"/>
        <w:jc w:val="both"/>
        <w:rPr>
          <w:bCs/>
          <w:lang w:val="ru-RU"/>
        </w:rPr>
      </w:pPr>
    </w:p>
    <w:p w:rsidR="00512FF0" w:rsidRPr="00E45A52" w:rsidRDefault="00E46DF0" w:rsidP="00512FF0">
      <w:pPr>
        <w:spacing w:after="0" w:line="360" w:lineRule="auto"/>
        <w:jc w:val="center"/>
        <w:rPr>
          <w:b/>
          <w:szCs w:val="28"/>
          <w:lang w:val="uz-Cyrl-UZ"/>
        </w:rPr>
      </w:pPr>
      <w:r>
        <w:rPr>
          <w:b/>
          <w:szCs w:val="28"/>
          <w:lang w:val="uz-Cyrl-UZ"/>
        </w:rPr>
        <w:br w:type="page"/>
      </w:r>
      <w:r w:rsidR="00512FF0" w:rsidRPr="00E45A52">
        <w:rPr>
          <w:b/>
          <w:szCs w:val="28"/>
          <w:lang w:val="uz-Cyrl-UZ"/>
        </w:rPr>
        <w:lastRenderedPageBreak/>
        <w:t>СПИСОК ИСПОЛЬЗОВАННЫХ ЛИТЕРАТУР</w:t>
      </w:r>
    </w:p>
    <w:p w:rsidR="00512FF0" w:rsidRPr="00E45A52" w:rsidRDefault="00512FF0" w:rsidP="00512FF0">
      <w:pPr>
        <w:pStyle w:val="ad"/>
        <w:numPr>
          <w:ilvl w:val="0"/>
          <w:numId w:val="13"/>
        </w:numPr>
        <w:tabs>
          <w:tab w:val="left" w:pos="1134"/>
        </w:tabs>
        <w:spacing w:line="360" w:lineRule="auto"/>
        <w:ind w:left="0" w:firstLine="720"/>
        <w:jc w:val="both"/>
        <w:rPr>
          <w:sz w:val="28"/>
          <w:szCs w:val="28"/>
        </w:rPr>
      </w:pPr>
      <w:r w:rsidRPr="00E45A52">
        <w:rPr>
          <w:sz w:val="28"/>
          <w:szCs w:val="28"/>
        </w:rPr>
        <w:t xml:space="preserve">Надырханов, США. Частные иностранные инвестиции в Узбекистан: опыт, проблемы, перспективы. Монография. - Т.: «Наука и техника», 2011. - </w:t>
      </w:r>
      <w:r w:rsidRPr="00E45A52">
        <w:rPr>
          <w:sz w:val="28"/>
          <w:szCs w:val="28"/>
          <w:lang w:val="uz-Cyrl-UZ"/>
        </w:rPr>
        <w:t xml:space="preserve">184 с </w:t>
      </w:r>
      <w:r w:rsidRPr="00E45A52">
        <w:rPr>
          <w:sz w:val="28"/>
          <w:szCs w:val="28"/>
        </w:rPr>
        <w:t>.</w:t>
      </w:r>
    </w:p>
    <w:p w:rsidR="00512FF0" w:rsidRPr="00512FF0" w:rsidRDefault="00512FF0" w:rsidP="00512FF0">
      <w:pPr>
        <w:pStyle w:val="ad"/>
        <w:numPr>
          <w:ilvl w:val="0"/>
          <w:numId w:val="13"/>
        </w:numPr>
        <w:tabs>
          <w:tab w:val="left" w:pos="1134"/>
        </w:tabs>
        <w:spacing w:line="360" w:lineRule="auto"/>
        <w:ind w:left="0" w:firstLine="720"/>
        <w:jc w:val="both"/>
        <w:rPr>
          <w:sz w:val="28"/>
          <w:szCs w:val="28"/>
        </w:rPr>
      </w:pPr>
      <w:r w:rsidRPr="00E45A52">
        <w:rPr>
          <w:sz w:val="28"/>
          <w:szCs w:val="28"/>
        </w:rPr>
        <w:t xml:space="preserve">Вахабов А.В., Разыкова Г.Х., Хаджибакиев Ш.Х. Иностранные инвестиции и модернизация национальной экономики. Монография. - Т.: «Финансы», 2011. - </w:t>
      </w:r>
      <w:r w:rsidRPr="00512FF0">
        <w:rPr>
          <w:sz w:val="28"/>
          <w:szCs w:val="28"/>
          <w:lang w:val="uz-Cyrl-UZ"/>
        </w:rPr>
        <w:t xml:space="preserve">300 с </w:t>
      </w:r>
      <w:r w:rsidRPr="00512FF0">
        <w:rPr>
          <w:sz w:val="28"/>
          <w:szCs w:val="28"/>
        </w:rPr>
        <w:t>.</w:t>
      </w:r>
    </w:p>
    <w:p w:rsidR="00512FF0" w:rsidRPr="00DF774B" w:rsidRDefault="00512FF0" w:rsidP="00512FF0">
      <w:pPr>
        <w:pStyle w:val="ad"/>
        <w:numPr>
          <w:ilvl w:val="0"/>
          <w:numId w:val="13"/>
        </w:numPr>
        <w:tabs>
          <w:tab w:val="left" w:pos="1134"/>
        </w:tabs>
        <w:spacing w:line="360" w:lineRule="auto"/>
        <w:ind w:left="0" w:firstLine="720"/>
        <w:jc w:val="both"/>
        <w:rPr>
          <w:sz w:val="28"/>
          <w:szCs w:val="28"/>
          <w:lang w:val="ru-RU"/>
        </w:rPr>
      </w:pPr>
      <w:r w:rsidRPr="00DF774B">
        <w:rPr>
          <w:sz w:val="28"/>
          <w:szCs w:val="28"/>
          <w:lang w:val="ru-RU"/>
        </w:rPr>
        <w:t>Маклеллан, Ф. Дж. Роль международных финансовых организаций в финансировании сельского хозяйства. – Вашингтон, округ Колумбия: 2020. – 292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 xml:space="preserve">Чипета, С. и Блюм, М.Л. 2018. Инновации в механизмах финансирования консультационных услуг в сельском хозяйстве, ориентированных на спрос. Структура для анализа и обобщения опыта. Рим, ФАО. С. 78. Лицензия: </w:t>
      </w:r>
      <w:r w:rsidRPr="00B53666">
        <w:rPr>
          <w:szCs w:val="28"/>
          <w:lang w:val="en-US"/>
        </w:rPr>
        <w:t>CC</w:t>
      </w:r>
      <w:r w:rsidRPr="00DF774B">
        <w:rPr>
          <w:szCs w:val="28"/>
          <w:lang w:val="ru-RU"/>
        </w:rPr>
        <w:t xml:space="preserve"> </w:t>
      </w:r>
      <w:r w:rsidRPr="00B53666">
        <w:rPr>
          <w:szCs w:val="28"/>
          <w:lang w:val="en-US"/>
        </w:rPr>
        <w:t>BY</w:t>
      </w:r>
      <w:r w:rsidRPr="00DF774B">
        <w:rPr>
          <w:szCs w:val="28"/>
          <w:lang w:val="ru-RU"/>
        </w:rPr>
        <w:t>-</w:t>
      </w:r>
      <w:r w:rsidRPr="00B53666">
        <w:rPr>
          <w:szCs w:val="28"/>
          <w:lang w:val="en-US"/>
        </w:rPr>
        <w:t>NC</w:t>
      </w:r>
      <w:r w:rsidRPr="00DF774B">
        <w:rPr>
          <w:szCs w:val="28"/>
          <w:lang w:val="ru-RU"/>
        </w:rPr>
        <w:t>-</w:t>
      </w:r>
      <w:r w:rsidRPr="00B53666">
        <w:rPr>
          <w:szCs w:val="28"/>
          <w:lang w:val="en-US"/>
        </w:rPr>
        <w:t>SA</w:t>
      </w:r>
      <w:r w:rsidRPr="00DF774B">
        <w:rPr>
          <w:szCs w:val="28"/>
          <w:lang w:val="ru-RU"/>
        </w:rPr>
        <w:t xml:space="preserve"> 3.0 </w:t>
      </w:r>
      <w:r w:rsidRPr="00B53666">
        <w:rPr>
          <w:szCs w:val="28"/>
          <w:lang w:val="en-US"/>
        </w:rPr>
        <w:t>IGO</w:t>
      </w:r>
      <w:r w:rsidRPr="00DF774B">
        <w:rPr>
          <w:szCs w:val="28"/>
          <w:lang w:val="ru-RU"/>
        </w:rPr>
        <w:t>. – С. 63-65 (содержание).</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Миллер, Л.С. Инновационные экономические модели в сельскохозяйственном финансировании. — Нью-Йорк: 2021. — 272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 xml:space="preserve">Таня Хавеманн, Кристин Негра и Фред Вернек, 2020. «Смешанное финансирование сельского хозяйства: исследование ограничений и возможностей сочетания финансовых инструментов для устойчивых преобразований», Сельское хозяйство и человеческие ценности, </w:t>
      </w:r>
      <w:r w:rsidRPr="00B53666">
        <w:rPr>
          <w:szCs w:val="28"/>
          <w:lang w:val="en-US"/>
        </w:rPr>
        <w:t>Springer</w:t>
      </w:r>
      <w:r w:rsidRPr="00DF774B">
        <w:rPr>
          <w:szCs w:val="28"/>
          <w:lang w:val="ru-RU"/>
        </w:rPr>
        <w:t>; Общество сельского хозяйства, продовольствия и человеческих ценностей (</w:t>
      </w:r>
      <w:r w:rsidRPr="00B53666">
        <w:rPr>
          <w:szCs w:val="28"/>
          <w:lang w:val="en-US"/>
        </w:rPr>
        <w:t>AFHVS</w:t>
      </w:r>
      <w:r w:rsidRPr="00DF774B">
        <w:rPr>
          <w:szCs w:val="28"/>
          <w:lang w:val="ru-RU"/>
        </w:rPr>
        <w:t>), том 37(4), страницы 1281-1292, декабрь.</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Липтон Майкл. Финансирование сельского хозяйства и развитие сельских районов: важнейшие вопросы и политические последствия // Мировое развитие, 2020, том 52, стр. 303-315.</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Паттерсон, Л. Э. Инновационные модели финансирования развития сельского хозяйства. - Чикаго: 2019. - 280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Перес, Х.М. Сотрудничество государственного и частного секторов в сфере финансирования сельского хозяйства. - Мадрид: 2020. - 320 с.</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en-US"/>
        </w:rPr>
      </w:pPr>
      <w:r w:rsidRPr="00B53666">
        <w:rPr>
          <w:szCs w:val="28"/>
        </w:rPr>
        <w:t xml:space="preserve">Кибизов Т.Ф. Совершенствование механизма финансирования </w:t>
      </w:r>
      <w:r w:rsidRPr="00B53666">
        <w:rPr>
          <w:szCs w:val="28"/>
        </w:rPr>
        <w:lastRenderedPageBreak/>
        <w:t xml:space="preserve">инвестиционной деятельности в сельском хозяйстве в условиях кризиса. Автореф. Дисс. Нет сои. Три. С.цен. - М.: Всероссийский институт аграрных проблем и информатики им. </w:t>
      </w:r>
      <w:r w:rsidRPr="00B53666">
        <w:rPr>
          <w:szCs w:val="28"/>
          <w:lang w:val="en-US"/>
        </w:rPr>
        <w:t>А. А. Никонова, 2016. – С. 8-9.</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Рауш, Э.Г. Экологические факторы в сельскохозяйственном финансировании. - Берлин: 2020. - 198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Робинсон, Г. Д. Многосторонние подходы к финансированию сельского хозяйства. - Лондон: 2020. - 197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Родригес, Х. Человеческий капитал и финансовая устойчивость в сельскохозяйственном развитии. – Мехико: 2021. – 212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Роуз, А. Дж. Финансирование развития сельского хозяйства: принципы и практика. — Нью-Йорк: 2018. — 192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Томпсон, Б.С. Международные финансовые институты и сельскохозяйственное финансирование. - Вашингтон, округ Колумбия: 2019. - 310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Томпсон, Дж. П. Сельскохозяйственное финансирование: обеспечение справедливого доступа к финансовой поддержке. — Нью-Йорк: 2019. — 289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Уильямс, Ф. Дж. Государственно-частное партнерство в финансировании сельского хозяйства. - Лондон: 2019. - 253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Райт, К. Финансовая стабильность и развитие сельского хозяйства. - Оксфорд: 2017. - 195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Чжан С.К. Сельскохозяйственное финансирование и его влияние на развитие сельских районов. — Пекин: 2021. — 261 с.</w:t>
      </w:r>
    </w:p>
    <w:p w:rsidR="00512FF0" w:rsidRPr="00B53666"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uz-Cyrl-UZ"/>
        </w:rPr>
      </w:pPr>
      <w:r w:rsidRPr="00DF774B">
        <w:rPr>
          <w:szCs w:val="28"/>
          <w:lang w:val="ru-RU"/>
        </w:rPr>
        <w:t>Шодмонов Е.Ш. Основные направления повышения активности банков в углублении аграрных реформ в Узбекистане. Диссертация на соискание степени доктора экономических наук. Автореферат: Т.: БМА, 2005. – 26 с.</w:t>
      </w:r>
    </w:p>
    <w:p w:rsidR="00512FF0" w:rsidRPr="00B53666"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uz-Cyrl-UZ"/>
        </w:rPr>
      </w:pPr>
      <w:r w:rsidRPr="00B53666">
        <w:rPr>
          <w:szCs w:val="28"/>
          <w:lang w:val="uz-Cyrl-UZ"/>
        </w:rPr>
        <w:t xml:space="preserve">Гасанов М.Ш. Финансирование сельского хозяйства: основные проблемы и решения. – Ташкент: </w:t>
      </w:r>
      <w:r w:rsidRPr="00DF774B">
        <w:rPr>
          <w:szCs w:val="28"/>
          <w:lang w:val="ru-RU"/>
        </w:rPr>
        <w:t xml:space="preserve">« </w:t>
      </w:r>
      <w:r w:rsidRPr="00B53666">
        <w:rPr>
          <w:szCs w:val="28"/>
          <w:lang w:val="uz-Cyrl-UZ"/>
        </w:rPr>
        <w:t xml:space="preserve">Фан </w:t>
      </w:r>
      <w:r w:rsidRPr="00DF774B">
        <w:rPr>
          <w:szCs w:val="28"/>
          <w:lang w:val="ru-RU"/>
        </w:rPr>
        <w:t xml:space="preserve">» </w:t>
      </w:r>
      <w:r w:rsidRPr="00B53666">
        <w:rPr>
          <w:szCs w:val="28"/>
          <w:lang w:val="uz-Cyrl-UZ"/>
        </w:rPr>
        <w:t>, 2017. – 253 с.</w:t>
      </w:r>
    </w:p>
    <w:p w:rsidR="00512FF0" w:rsidRPr="00B53666"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uz-Cyrl-UZ"/>
        </w:rPr>
      </w:pPr>
      <w:r w:rsidRPr="00B53666">
        <w:rPr>
          <w:szCs w:val="28"/>
          <w:lang w:val="uz-Cyrl-UZ"/>
        </w:rPr>
        <w:t xml:space="preserve">Вахабов А.В. Роль банковской системы в повышении уровня жизни </w:t>
      </w:r>
      <w:r w:rsidRPr="00B53666">
        <w:rPr>
          <w:szCs w:val="28"/>
          <w:lang w:val="uz-Cyrl-UZ"/>
        </w:rPr>
        <w:lastRenderedPageBreak/>
        <w:t>сельского населения. Роль банковской и финансовой системы в развитии сельских районов и повышении уровня жизни населения. Сборник материалов международной научно-практической конференции. – Финансы, 2009. С. 15-23.</w:t>
      </w:r>
    </w:p>
    <w:p w:rsidR="00512FF0" w:rsidRPr="00386DA0"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uz-Cyrl-UZ"/>
        </w:rPr>
      </w:pPr>
      <w:r w:rsidRPr="00386DA0">
        <w:rPr>
          <w:szCs w:val="28"/>
          <w:lang w:val="uz-Cyrl-UZ"/>
        </w:rPr>
        <w:t>Джабборов С.Ш. Сельскохозяйственное финансирование и финансовая помощь. – Ташкент, 2021.</w:t>
      </w:r>
    </w:p>
    <w:p w:rsidR="00512FF0" w:rsidRPr="00386DA0"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uz-Cyrl-UZ"/>
        </w:rPr>
      </w:pPr>
      <w:r w:rsidRPr="00386DA0">
        <w:rPr>
          <w:szCs w:val="28"/>
          <w:lang w:val="uz-Cyrl-UZ"/>
        </w:rPr>
        <w:t>Каримов Р.А. Управление финансовыми рисками в аграрной отрасли . – Ташкент: Наука и технологии, 2019.</w:t>
      </w:r>
    </w:p>
    <w:p w:rsidR="00512FF0" w:rsidRPr="00386DA0"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uz-Cyrl-UZ"/>
        </w:rPr>
      </w:pPr>
      <w:r w:rsidRPr="00386DA0">
        <w:rPr>
          <w:szCs w:val="28"/>
          <w:lang w:val="uz-Cyrl-UZ"/>
        </w:rPr>
        <w:t>Косимов ОТ. Роль механизмов финансирования в развитии аграрной экономики. – Ташкент: Издательство «Экономика и образование», 2020.</w:t>
      </w:r>
    </w:p>
    <w:p w:rsidR="00512FF0" w:rsidRPr="00386DA0"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uz-Cyrl-UZ"/>
        </w:rPr>
      </w:pPr>
      <w:r w:rsidRPr="00386DA0">
        <w:rPr>
          <w:szCs w:val="28"/>
          <w:lang w:val="uz-Cyrl-UZ"/>
        </w:rPr>
        <w:t>Тохтабеков О., Каримов Н. Реформы в аграрете Узбекистана и механизмы привлечения инвестиций. – Ташкент: «Экономика», 2021. – 280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Халилова Т.К. Международные инвесторы и механизмы финансирования. – Ташкент: «Фан», 2020. – 255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Ходиев Б.Ю., Шодиев Т.Ш. Финансовый менеджмент в сельском хозяйстве. – Ташкент: Издательство ТСИУ, 2023.</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Холиков Н.Р. Экономические основы финансирования фермерских хозяйств. – Самарканд: Самаркандский государственный университет, 2018.</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Гафуров И.А. Принципы и методы финансирования сельского хозяйства. – Ташкент: 2020. – 269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Камолов Ш.О. Инновационные методы финансирования сельского хозяйства. – Ташкент: 2021. – 202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Мирзахмедов Р.Х. Роль государственной политики в финансировании сельского хозяйства. – Ташкент: 2019. – 304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Рахимов З.А. Финансирование сельского хозяйства и государственная политика. – Ташкент: 2020. – 320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Тохтасинов М.Ю. Методы финансирования и международное экономическое сотрудничество. – Ташкент: 2018. – 296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 xml:space="preserve">Африканский банк развития. Финансирование сельского хозяйства в Африке: новые подходы к росту. - Абиджан: Африканский банк развития, 2021. </w:t>
      </w:r>
      <w:r w:rsidRPr="00DF774B">
        <w:rPr>
          <w:szCs w:val="28"/>
          <w:lang w:val="ru-RU"/>
        </w:rPr>
        <w:lastRenderedPageBreak/>
        <w:t>- 89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Азиатский банк инфраструктурных инвестиций (АИИБ). Финансирование развития сельских районов: акцент на сельскохозяйственную инфраструктуру. - Пекин: АИИБ, 2021. - 107 с.</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en-US"/>
        </w:rPr>
      </w:pPr>
      <w:r w:rsidRPr="00DF774B">
        <w:rPr>
          <w:szCs w:val="28"/>
          <w:lang w:val="ru-RU"/>
        </w:rPr>
        <w:t xml:space="preserve">Доклад Продовольственной и сельскохозяйственной организации ООН (ФАО). </w:t>
      </w:r>
      <w:r w:rsidRPr="002A00AC">
        <w:rPr>
          <w:szCs w:val="28"/>
          <w:lang w:val="en-US"/>
        </w:rPr>
        <w:t>Финансирование инвестиций в сельскохозяйственный капитал. – Рим, 2020 г. – 208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ЕБРД. Финансирование сельского хозяйства в Восточном и Южном Средиземноморье. - Лондон: ЕБРД, 2020. - 61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Европейская комиссия. Финансирование сельского хозяйства в Европейском союзе: вызовы и решения. - Брюссель: Европейская комиссия, 2020. - 87 с.</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Европейский парламент. Точное земледелие и будущее сельского хозяйства в Европе. </w:t>
      </w:r>
      <w:r w:rsidRPr="002A00AC">
        <w:rPr>
          <w:szCs w:val="28"/>
        </w:rPr>
        <w:t>2023.</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Европейский Союз. Политика ЕС в области сельскохозяйственного финансирования: вызовы и решения. - Брюссель: Европейский Союз, 2021. - 103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ФАО. Финансирование сельского хозяйства в целях устойчивого развития. - Рим: ФАО, 2021. - 75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ФАО. Платежи за экосистемные услуги в сельском хозяйстве: глобальный обзор, 2022 г., стр. 18-32.</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Фонд Гейтса. Инновационные модели финансирования развития сельского хозяйства в Африке. — Сиэтл: Фонд Гейтса, 2021. — 64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МФСР. Финансирование мелкого сельского хозяйства: вызовы и возможности. - Рим: МФСР, 2022. - 91 с.</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МФСР. Стратегическая рамочная программа МФСР на 2022-2026 годы: Процветание сельских районов посредством устойчивых и инклюзивных инвестиций в сельскохозяйственные системы. </w:t>
      </w:r>
      <w:r w:rsidRPr="002A00AC">
        <w:rPr>
          <w:szCs w:val="28"/>
        </w:rPr>
        <w:t>Рим: Международный фонд сельскохозяйственного развития, 2024.</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 xml:space="preserve">Международный фонд сельскохозяйственного развития. </w:t>
      </w:r>
      <w:r w:rsidRPr="00DF774B">
        <w:rPr>
          <w:szCs w:val="28"/>
          <w:lang w:val="ru-RU"/>
        </w:rPr>
        <w:lastRenderedPageBreak/>
        <w:t>Финансирование мелкого сельского хозяйства: модели успеха. - Рим: Международный фонд сельскохозяйственного развития, 2020. - 95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Международный валютный фонд (МВФ). Финансирование сельского хозяйства: рекомендации по политике для стран с низким и средним уровнем дохода. - Вашингтон, округ Колумбия: Международный валютный фонд (МВФ), 2020. - 64 с.</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Иисус. Стандарты </w:t>
      </w:r>
      <w:r w:rsidRPr="002A00AC">
        <w:rPr>
          <w:szCs w:val="28"/>
          <w:lang w:val="en-US"/>
        </w:rPr>
        <w:t>ISO</w:t>
      </w:r>
      <w:r w:rsidRPr="00DF774B">
        <w:rPr>
          <w:szCs w:val="28"/>
          <w:lang w:val="ru-RU"/>
        </w:rPr>
        <w:t xml:space="preserve"> для сельского хозяйства: содействие доступу к рынкам и инвестициям. </w:t>
      </w:r>
      <w:r w:rsidRPr="002A00AC">
        <w:rPr>
          <w:szCs w:val="28"/>
        </w:rPr>
        <w:t>Женева: Международная организация по стандартизации, 2023.</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ОЭСР. Мониторинг и оценка сельскохозяйственной политики, 2022, стр. 87-102.</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ОЭСР. Специализированные сельскохозяйственные финансовые институты: сравнительный анализ, 2022, стр. 32-48.</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Азиатский банк развития. Специальное оценочное исследование поддержки АБР сельского хозяйства, природных ресурсов и развития сельских районов. </w:t>
      </w:r>
      <w:r w:rsidRPr="002A00AC">
        <w:rPr>
          <w:szCs w:val="28"/>
        </w:rPr>
        <w:t>Манила: АБР, 2023.</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Британский центр сельскохозяйственного финансирования. Инновации в сельскохозяйственном финансировании. – Лондон: Британский центр сельскохозяйственного финансирования, 2022. – 86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Группа Всемирного банка. Финансирование сельского хозяйства и развитие сельских районов в развивающихся странах. - Вашингтон, округ Колумбия: Группа Всемирного банка, 2021. - 102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Всемирный банк. Финансирование сельского хозяйства в развивающихся странах: обзор глобальной и региональной политики. - Вашингтон, округ Колумбия: Всемирный банк, 2021. - 104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Всемирный банк. Финансирование сельского хозяйства: создание основы для роста. - Вашингтон, округ Колумбия: Всемирный банк, 2021. - 85 с.</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Всемирный банк. Финансирование и инвестиции в сельское хозяйство: создание инклюзивных финансовых систем для преобразования </w:t>
      </w:r>
      <w:r w:rsidRPr="00DF774B">
        <w:rPr>
          <w:szCs w:val="28"/>
          <w:lang w:val="ru-RU"/>
        </w:rPr>
        <w:lastRenderedPageBreak/>
        <w:t xml:space="preserve">сельских районов. </w:t>
      </w:r>
      <w:r w:rsidRPr="002A00AC">
        <w:rPr>
          <w:szCs w:val="28"/>
        </w:rPr>
        <w:t>Вашингтон, округ Колумбия: Издательство Всемирного банка, 2023.</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Всемирный банк. Цифровые решения для сельскохозяйственного микрофинансирования: инновации и их влияние. </w:t>
      </w:r>
      <w:r w:rsidRPr="002A00AC">
        <w:rPr>
          <w:szCs w:val="28"/>
        </w:rPr>
        <w:t>Вашингтон, округ Колумбия, 2022.</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Всемирный банк. Финансирование сельскохозяйственных инноваций: инвестиционные фонды и другие механизмы. </w:t>
      </w:r>
      <w:r w:rsidRPr="002A00AC">
        <w:rPr>
          <w:szCs w:val="28"/>
        </w:rPr>
        <w:t>Вашингтон, округ Колумбия: Издательство Всемирного банка, 2022.</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Всемирный банк. Грузия: Сельскохозяйственная, земельная и водная политика в рамках стратегии устойчивого развития сельских районов. </w:t>
      </w:r>
      <w:r w:rsidRPr="002A00AC">
        <w:rPr>
          <w:szCs w:val="28"/>
        </w:rPr>
        <w:t>Вашингтон, округ Колумбия: Издательство Всемирного банка, 2022.</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Всемирный банк. Государственно-частное партнерство в сельскохозяйственных цепочках создания стоимости: практическое руководство по проектированию и внедрению. </w:t>
      </w:r>
      <w:r w:rsidRPr="002A00AC">
        <w:rPr>
          <w:szCs w:val="28"/>
        </w:rPr>
        <w:t>Вашингтон, округ Колумбия: Группа Всемирного банка, 2022.</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Всемирный экономический форум. Будущее сельскохозяйственного финансирования на развивающихся рынках. </w:t>
      </w:r>
      <w:r w:rsidRPr="002A00AC">
        <w:rPr>
          <w:szCs w:val="28"/>
        </w:rPr>
        <w:t>Женева: ВЭФ, 2023.</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ВТО. Сельскохозяйственные субсидии и торговля: реформы и возможности. - Женева: ВТО, 2020. - 119 с.</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2A00AC">
        <w:rPr>
          <w:szCs w:val="28"/>
          <w:lang w:val="en-US"/>
        </w:rPr>
        <w:t>AgFunder</w:t>
      </w:r>
      <w:r w:rsidRPr="00DF774B">
        <w:rPr>
          <w:szCs w:val="28"/>
          <w:lang w:val="ru-RU"/>
        </w:rPr>
        <w:t>. Отчет об инвестициях в агропродовольственные технологии, 2023 г., стр. 5-11.</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 xml:space="preserve">Лаборатория </w:t>
      </w:r>
      <w:r w:rsidRPr="002A00AC">
        <w:rPr>
          <w:szCs w:val="28"/>
          <w:lang w:val="en-US"/>
        </w:rPr>
        <w:t>AgVenture</w:t>
      </w:r>
      <w:r w:rsidRPr="00DF774B">
        <w:rPr>
          <w:szCs w:val="28"/>
          <w:lang w:val="ru-RU"/>
        </w:rPr>
        <w:t>. Отчет о финансировании сельскохозяйственных инноваций, 2023 г., стр. 7-16.</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Агьекумхене, К., де Врис, Й., Паассен, А., Шут, М., и Макнагтен, П. Обеспечение значимого участия мелких фермеров в цепочке создания стоимости: роль цифровых финансовых платформ в развитии сельского хозяйства. </w:t>
      </w:r>
      <w:r w:rsidRPr="002A00AC">
        <w:rPr>
          <w:szCs w:val="28"/>
        </w:rPr>
        <w:t>Обзор политики развития, 2021, 39(5), 670-687.</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Ахлерс, Г.К., Камминг, Д., Гюнтер, К., и Швайцер, Д. Сигнализация в краудфандинге акций для сельскохозяйственных стартапов. </w:t>
      </w:r>
      <w:r w:rsidRPr="002A00AC">
        <w:rPr>
          <w:szCs w:val="28"/>
        </w:rPr>
        <w:t>Теория и практика предпринимательства, 2022, 46(4), 879-903.</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lastRenderedPageBreak/>
        <w:t xml:space="preserve">Эйксби, Н. План «Зеленый Марокко»: оценка стратегии привлечения сельскохозяйственных инвестиций. </w:t>
      </w:r>
      <w:r w:rsidRPr="002A00AC">
        <w:rPr>
          <w:szCs w:val="28"/>
        </w:rPr>
        <w:t>New Medit: Средиземноморский журнал экономики, сельского хозяйства и окружающей среды, 2022, 21(2), 77-95.</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Акинтойе, А., Бек, М., и Хардкасл, К. Государственно-частное партнерство: управление рисками и возможностями в развитии сельского хозяйства. </w:t>
      </w:r>
      <w:r w:rsidRPr="002A00AC">
        <w:rPr>
          <w:szCs w:val="28"/>
        </w:rPr>
        <w:t>Оксфорд: Blackwell Science, 2021.</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Американская ассоциация банкиров. Отчет об исследовании сельскохозяйственного кредитования, 2023 г., стр. 22-36.</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Американская федерация фермерских бюро. Обзор инновационных моделей сельскохозяйственных инвестиций, 2022, стр. 27-33.</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Антонуччи, Ф., Фигорилли, С., Коста, К., Паллоттино, Ф., Расо, Л., и Менесатти, П. Обзор применения блокчейна в агропродовольственном секторе с акцентом на финансовые приложения. </w:t>
      </w:r>
      <w:r w:rsidRPr="002A00AC">
        <w:rPr>
          <w:szCs w:val="28"/>
        </w:rPr>
        <w:t>Журнал сельскохозяйственной инженерии, 2022, 50(4), 222-230.</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Азиатский банк развития. Микрофинансирование в сельском хозяйстве: текущее состояние и перспективы в Центральной Азии. </w:t>
      </w:r>
      <w:r w:rsidRPr="002A00AC">
        <w:rPr>
          <w:szCs w:val="28"/>
        </w:rPr>
        <w:t>Манила, Филиппины, 2020.</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en-US"/>
        </w:rPr>
      </w:pPr>
      <w:r w:rsidRPr="00DF774B">
        <w:rPr>
          <w:szCs w:val="28"/>
          <w:lang w:val="ru-RU"/>
        </w:rPr>
        <w:t xml:space="preserve">Асми, М., и Хассанудин, М.Т. Применение салама и истисны в сельскохозяйственном финансировании: опыт Малайзии. </w:t>
      </w:r>
      <w:r w:rsidRPr="002A00AC">
        <w:rPr>
          <w:szCs w:val="28"/>
          <w:lang w:val="en-US"/>
        </w:rPr>
        <w:t>Международный журнал исламских и ближневосточных финансов и управления, 2023, 16(1), 66-85.</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Бадрауи, М., и Дахан, Р. Зеленый план Марокко: достижения и перспективы устойчивого инвестирования в сельское хозяйство. </w:t>
      </w:r>
      <w:r w:rsidRPr="002A00AC">
        <w:rPr>
          <w:szCs w:val="28"/>
        </w:rPr>
        <w:t>Африканский журнал сельскохозяйственных исследований, 2023, 18(4), 267-281.</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Балафутис, А., Бек, Б., Фунтас, С., Вангейт, Дж., ван дер Валь, Т., Сото, И., Гомес-Барберо, М., Барнс, А., и Эори, В. Технологии «умного» земледелия – описание, таксономия и экономическое воздействие с акцентом на применение ИИ в оценке кредитоспособности. </w:t>
      </w:r>
      <w:r w:rsidRPr="002A00AC">
        <w:rPr>
          <w:szCs w:val="28"/>
        </w:rPr>
        <w:t>Точное земледелие, 2021, 19(2), 377-409.</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Барнетт, Б.Дж., и Махул, О. Страхование по погодному индексу для </w:t>
      </w:r>
      <w:r w:rsidRPr="00DF774B">
        <w:rPr>
          <w:szCs w:val="28"/>
          <w:lang w:val="ru-RU"/>
        </w:rPr>
        <w:lastRenderedPageBreak/>
        <w:t xml:space="preserve">сельского хозяйства и сельских районов в странах с низким уровнем дохода. </w:t>
      </w:r>
      <w:r w:rsidRPr="002A00AC">
        <w:rPr>
          <w:szCs w:val="28"/>
        </w:rPr>
        <w:t>Американский журнал сельскохозяйственной экономики, 2020, 102(4), 1250-1266.</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Фонд Билла и Мелинды Гейтс. Обзор глобальных сельскохозяйственных партнерств, 2022, стр. 26-34.</w:t>
      </w:r>
    </w:p>
    <w:p w:rsidR="00512FF0" w:rsidRPr="00DF774B"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ru-RU"/>
        </w:rPr>
      </w:pPr>
      <w:r w:rsidRPr="00DF774B">
        <w:rPr>
          <w:szCs w:val="28"/>
          <w:lang w:val="ru-RU"/>
        </w:rPr>
        <w:t>Фонд двусторонних промышленных исследований и разработок. Ежегодный отчет о сотрудничестве США и Израиля в области сельскохозяйственных технологий, 2023 г., стр. 12-24.</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Бинсвангер, Х., и Хандер, С. Влияние формального финансирования на сельскую экономику: данные сезонных кредитных программ. </w:t>
      </w:r>
      <w:r w:rsidRPr="002A00AC">
        <w:rPr>
          <w:szCs w:val="28"/>
        </w:rPr>
        <w:t>Журнал исследований развития, 2021, 32(2), 234-262.</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en-US"/>
        </w:rPr>
      </w:pPr>
      <w:r w:rsidRPr="00DF774B">
        <w:rPr>
          <w:szCs w:val="28"/>
          <w:lang w:val="ru-RU"/>
        </w:rPr>
        <w:t xml:space="preserve">Бинсвангер, Х.П., и Дейнингер, К. Объяснение сельскохозяйственной и аграрной политики в развивающихся странах. </w:t>
      </w:r>
      <w:r w:rsidRPr="002A00AC">
        <w:rPr>
          <w:szCs w:val="28"/>
          <w:lang w:val="en-US"/>
        </w:rPr>
        <w:t>Журнал экономических перспектив, 1997, 11(3), 195–206.</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lang w:val="en-US"/>
        </w:rPr>
      </w:pPr>
      <w:r w:rsidRPr="002A00AC">
        <w:rPr>
          <w:szCs w:val="28"/>
          <w:lang w:val="en-US"/>
        </w:rPr>
        <w:t>HPBinswanger</w:t>
      </w:r>
      <w:r w:rsidRPr="00DF774B">
        <w:rPr>
          <w:szCs w:val="28"/>
          <w:lang w:val="ru-RU"/>
        </w:rPr>
        <w:t xml:space="preserve">, </w:t>
      </w:r>
      <w:r w:rsidRPr="002A00AC">
        <w:rPr>
          <w:szCs w:val="28"/>
          <w:lang w:val="en-US"/>
        </w:rPr>
        <w:t>SRKhandker</w:t>
      </w:r>
      <w:r w:rsidRPr="00DF774B">
        <w:rPr>
          <w:szCs w:val="28"/>
          <w:lang w:val="ru-RU"/>
        </w:rPr>
        <w:t xml:space="preserve">, Влияние формального финансирования на сельскую экономику Индии. </w:t>
      </w:r>
      <w:r w:rsidRPr="002A00AC">
        <w:rPr>
          <w:szCs w:val="28"/>
          <w:lang w:val="en-US"/>
        </w:rPr>
        <w:t>Журнал исследований развития, 2022, 32(2), 234-262.</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Ароров Ф.Б. Совершенствование механизмов государственно-частного партнерства в сельском хозяйстве. </w:t>
      </w:r>
      <w:r w:rsidRPr="002A00AC">
        <w:rPr>
          <w:szCs w:val="28"/>
        </w:rPr>
        <w:t>Финансы и банковское дело, 2022, 2, 112-120.</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2A00AC">
        <w:rPr>
          <w:szCs w:val="28"/>
        </w:rPr>
        <w:t>А.Ш. Бекмуродов, Дж.М. Курбонов. Пути повышения эффективности использования кредитных ресурсов в сельском хозяйстве. Вестник сельскохозяйственных наук, 2022, 2, 42-48.</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2A00AC">
        <w:rPr>
          <w:szCs w:val="28"/>
        </w:rPr>
        <w:t>Бердимуродов А., Амонов М. Механизмы финансирования кластеров в сельском хозяйстве. Бизнес-Дейли, 2021, 5, 63-70.</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2A00AC">
        <w:rPr>
          <w:szCs w:val="28"/>
        </w:rPr>
        <w:t>Ергашев Р.Х., Равшанов А.Д. Направления совершенствования механизмов государственной поддержки сельского хозяйства. Экономика и образование, 2021, 5, 78-86.</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2A00AC">
        <w:rPr>
          <w:szCs w:val="28"/>
        </w:rPr>
        <w:t xml:space="preserve">Каримов Н.Г., Хашимова Н.А. Современное состояние и тенденции развития сельскохозяйственных инвестиций в Узбекистане. Экономика и </w:t>
      </w:r>
      <w:r w:rsidRPr="002A00AC">
        <w:rPr>
          <w:szCs w:val="28"/>
        </w:rPr>
        <w:lastRenderedPageBreak/>
        <w:t>инновационные технологии, 2023, 3, 25-36.</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DF774B">
        <w:rPr>
          <w:szCs w:val="28"/>
          <w:lang w:val="ru-RU"/>
        </w:rPr>
        <w:t xml:space="preserve">Содиков, А. Сельскохозяйственное микрокредитование в Узбекистане: состояние и перспективы. </w:t>
      </w:r>
      <w:r w:rsidRPr="002A00AC">
        <w:rPr>
          <w:szCs w:val="28"/>
        </w:rPr>
        <w:t>Экономика и образование, 2022, 2(43), 56-64.</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2A00AC">
        <w:rPr>
          <w:szCs w:val="28"/>
        </w:rPr>
        <w:t>Шоходжаева З.С., Ахмадалиев А.Х. Механизм государственного регулирования и поддержки кредитования сельскохозяйственного сектора. Международный журнал научных исследователей, 2023, 3(2), 52-66.</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2A00AC">
        <w:rPr>
          <w:szCs w:val="28"/>
        </w:rPr>
        <w:t>Горохов В.А. Увеличение государственного финансирования и частного сектора. – М.: 2021. – 256 с.</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2A00AC">
        <w:rPr>
          <w:szCs w:val="28"/>
        </w:rPr>
        <w:t>Гришина Л.А. Сотрудничество и финансирование между государственным и частным секторами. — Москва: 2020. — 270 с.</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2A00AC">
        <w:rPr>
          <w:szCs w:val="28"/>
        </w:rPr>
        <w:t>Демидов В.П. Финансирование сельского хозяйства: периодические и современные проблемы. – М.: 2020. – 274 с.</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2A00AC">
        <w:rPr>
          <w:szCs w:val="28"/>
        </w:rPr>
        <w:t>Евразийская экономическая комиссия. Развитие агропромышленного комплекса ЕАЭС: состояние, проблемы, перспективы. – Москва, 2020. – 145 с.</w:t>
      </w:r>
    </w:p>
    <w:p w:rsidR="00512FF0" w:rsidRPr="002A00AC" w:rsidRDefault="00512FF0" w:rsidP="00512FF0">
      <w:pPr>
        <w:pStyle w:val="a7"/>
        <w:widowControl w:val="0"/>
        <w:numPr>
          <w:ilvl w:val="0"/>
          <w:numId w:val="10"/>
        </w:numPr>
        <w:tabs>
          <w:tab w:val="left" w:pos="993"/>
          <w:tab w:val="left" w:pos="1134"/>
        </w:tabs>
        <w:spacing w:after="0" w:line="360" w:lineRule="auto"/>
        <w:ind w:left="0" w:firstLine="709"/>
        <w:jc w:val="both"/>
        <w:rPr>
          <w:szCs w:val="28"/>
        </w:rPr>
      </w:pPr>
      <w:r w:rsidRPr="002A00AC">
        <w:rPr>
          <w:szCs w:val="28"/>
        </w:rPr>
        <w:t>Зверев А.А. Инновационные методы финансирования и развития сельской экономики. - М.: 2020. - 220 с.</w:t>
      </w:r>
    </w:p>
    <w:p w:rsidR="00512FF0" w:rsidRPr="009E78DF" w:rsidRDefault="00512FF0" w:rsidP="001F06BB">
      <w:pPr>
        <w:spacing w:after="0" w:line="360" w:lineRule="auto"/>
        <w:ind w:firstLine="709"/>
        <w:jc w:val="both"/>
        <w:rPr>
          <w:bCs/>
        </w:rPr>
      </w:pPr>
    </w:p>
    <w:sectPr w:rsidR="00512FF0" w:rsidRPr="009E78DF"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040" w:rsidRDefault="00450040" w:rsidP="0079280C">
      <w:pPr>
        <w:spacing w:after="0"/>
      </w:pPr>
      <w:r>
        <w:separator/>
      </w:r>
    </w:p>
  </w:endnote>
  <w:endnote w:type="continuationSeparator" w:id="0">
    <w:p w:rsidR="00450040" w:rsidRDefault="00450040" w:rsidP="007928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 Uzb Roman">
    <w:altName w:val="Times New Roman"/>
    <w:charset w:val="CC"/>
    <w:family w:val="roman"/>
    <w:pitch w:val="default"/>
  </w:font>
  <w:font w:name="NewtonC">
    <w:altName w:val="Times New Roman"/>
    <w:charset w:val="CC"/>
    <w:family w:val="roman"/>
    <w:pitch w:val="default"/>
  </w:font>
  <w:font w:name="Segoe UI">
    <w:panose1 w:val="020B0502040204020203"/>
    <w:charset w:val="CC"/>
    <w:family w:val="swiss"/>
    <w:pitch w:val="variable"/>
    <w:sig w:usb0="E4002EFF" w:usb1="C000E47F" w:usb2="00000009" w:usb3="00000000" w:csb0="000001FF" w:csb1="00000000"/>
  </w:font>
  <w:font w:name="BalticaUzbek">
    <w:altName w:val="Times New Roman"/>
    <w:panose1 w:val="00000000000000000000"/>
    <w:charset w:val="00"/>
    <w:family w:val="auto"/>
    <w:notTrueType/>
    <w:pitch w:val="variable"/>
    <w:sig w:usb0="00000003" w:usb1="00000000" w:usb2="00000000" w:usb3="00000000" w:csb0="00000001" w:csb1="00000000"/>
  </w:font>
  <w:font w:name="Vrinda">
    <w:panose1 w:val="00000400000000000000"/>
    <w:charset w:val="01"/>
    <w:family w:val="roman"/>
    <w:notTrueType/>
    <w:pitch w:val="variable"/>
  </w:font>
  <w:font w:name="Myriad Pro">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040" w:rsidRDefault="00450040" w:rsidP="0079280C">
      <w:pPr>
        <w:spacing w:after="0"/>
      </w:pPr>
      <w:r>
        <w:separator/>
      </w:r>
    </w:p>
  </w:footnote>
  <w:footnote w:type="continuationSeparator" w:id="0">
    <w:p w:rsidR="00450040" w:rsidRDefault="00450040" w:rsidP="0079280C">
      <w:pPr>
        <w:spacing w:after="0"/>
      </w:pPr>
      <w:r>
        <w:continuationSeparator/>
      </w:r>
    </w:p>
  </w:footnote>
  <w:footnote w:id="1">
    <w:p w:rsidR="00CC01EC" w:rsidRPr="00E83A9E" w:rsidRDefault="00CC01EC" w:rsidP="007028FB">
      <w:pPr>
        <w:spacing w:after="0"/>
        <w:jc w:val="both"/>
        <w:rPr>
          <w:spacing w:val="-2"/>
          <w:sz w:val="20"/>
          <w:szCs w:val="20"/>
          <w:shd w:val="clear" w:color="auto" w:fill="FFFFFF"/>
          <w:lang w:val="uz-Cyrl-UZ"/>
        </w:rPr>
      </w:pPr>
      <w:r w:rsidRPr="00E83A9E">
        <w:rPr>
          <w:rStyle w:val="af0"/>
          <w:spacing w:val="-2"/>
          <w:sz w:val="20"/>
          <w:szCs w:val="20"/>
        </w:rPr>
        <w:footnoteRef/>
      </w:r>
      <w:r w:rsidRPr="00E83A9E">
        <w:rPr>
          <w:spacing w:val="-2"/>
          <w:sz w:val="20"/>
          <w:szCs w:val="20"/>
        </w:rPr>
        <w:t xml:space="preserve">Огарков С.А. Инвестология в сельском хозяйстве: монография. – М.: Инфра-М, 2016. – 65 с.; </w:t>
      </w:r>
      <w:hyperlink r:id="rId1" w:tgtFrame="_blank" w:history="1">
        <w:r w:rsidRPr="00E83A9E">
          <w:rPr>
            <w:spacing w:val="-2"/>
            <w:sz w:val="20"/>
            <w:szCs w:val="20"/>
          </w:rPr>
          <w:t xml:space="preserve">Брюсов П.Н., </w:t>
        </w:r>
      </w:hyperlink>
      <w:hyperlink r:id="rId2" w:tgtFrame="_blank" w:history="1">
        <w:r w:rsidRPr="00E83A9E">
          <w:rPr>
            <w:spacing w:val="-2"/>
            <w:sz w:val="20"/>
            <w:szCs w:val="20"/>
          </w:rPr>
          <w:t xml:space="preserve">Филатова Т.В., </w:t>
        </w:r>
      </w:hyperlink>
      <w:hyperlink r:id="rId3" w:tgtFrame="_blank" w:history="1">
        <w:r w:rsidRPr="00E83A9E">
          <w:rPr>
            <w:spacing w:val="-2"/>
            <w:sz w:val="20"/>
            <w:szCs w:val="20"/>
          </w:rPr>
          <w:t xml:space="preserve">Орехова Н.П. </w:t>
        </w:r>
      </w:hyperlink>
      <w:r w:rsidRPr="00E83A9E">
        <w:rPr>
          <w:spacing w:val="-2"/>
          <w:sz w:val="20"/>
          <w:szCs w:val="20"/>
        </w:rPr>
        <w:t xml:space="preserve">Современные корпоративные финансы и инвестиции: монография. – М.: КНОРУС, 2024. – 560 с.; Моисеенко Ю.Н. Направления государственной поддержки малых форм хозяйства. Монография. – Персиановский: Донской ГАУ, 2021. – 175 с.; </w:t>
      </w:r>
      <w:hyperlink r:id="rId4" w:history="1">
        <w:r w:rsidRPr="00E83A9E">
          <w:rPr>
            <w:spacing w:val="-2"/>
            <w:sz w:val="20"/>
            <w:szCs w:val="20"/>
            <w:shd w:val="clear" w:color="auto" w:fill="FFFFFF"/>
            <w:lang w:val="uz-Cyrl-UZ"/>
          </w:rPr>
          <w:t xml:space="preserve">Панин А.В. </w:t>
        </w:r>
      </w:hyperlink>
      <w:r w:rsidRPr="00E83A9E">
        <w:rPr>
          <w:spacing w:val="-2"/>
          <w:sz w:val="20"/>
          <w:szCs w:val="20"/>
          <w:shd w:val="clear" w:color="auto" w:fill="FFFFFF"/>
          <w:lang w:val="uz-Cyrl-UZ"/>
        </w:rPr>
        <w:t xml:space="preserve">Экономический рост в сельском хозяйстве на основе модернизации производства: монография. – М.: </w:t>
      </w:r>
      <w:hyperlink r:id="rId5" w:history="1">
        <w:r w:rsidRPr="00E83A9E">
          <w:rPr>
            <w:spacing w:val="-2"/>
            <w:sz w:val="20"/>
            <w:szCs w:val="20"/>
            <w:shd w:val="clear" w:color="auto" w:fill="FFFFFF"/>
            <w:lang w:val="uz-Cyrl-UZ"/>
          </w:rPr>
          <w:t xml:space="preserve">Проспект </w:t>
        </w:r>
      </w:hyperlink>
      <w:r w:rsidRPr="00E83A9E">
        <w:rPr>
          <w:spacing w:val="-2"/>
          <w:sz w:val="20"/>
          <w:szCs w:val="20"/>
          <w:shd w:val="clear" w:color="auto" w:fill="FFFFFF"/>
          <w:lang w:val="uz-Cyrl-UZ"/>
        </w:rPr>
        <w:t xml:space="preserve">, 2016. – 238 с.; </w:t>
      </w:r>
      <w:hyperlink r:id="rId6" w:history="1">
        <w:r w:rsidRPr="00E83A9E">
          <w:rPr>
            <w:spacing w:val="-2"/>
            <w:sz w:val="20"/>
            <w:szCs w:val="20"/>
            <w:shd w:val="clear" w:color="auto" w:fill="FFFFFF"/>
            <w:lang w:val="uz-Cyrl-UZ"/>
          </w:rPr>
          <w:t xml:space="preserve">Ушачев И.Г. </w:t>
        </w:r>
      </w:hyperlink>
      <w:r w:rsidRPr="00E83A9E">
        <w:rPr>
          <w:spacing w:val="-2"/>
          <w:sz w:val="20"/>
          <w:szCs w:val="20"/>
          <w:shd w:val="clear" w:color="auto" w:fill="FFFFFF"/>
          <w:lang w:val="uz-Cyrl-UZ"/>
        </w:rPr>
        <w:t>Проблемы и приоритетные направления инвестиционного развития в АПК России. Монография. - М.: Научный консультант. 2021. – 302 с.; Маслакова В.В., Демичев В.В. Статистический анализ эффективности инвестирования в развитие сельского хозяйства России. Монография. – М.: Научный консультант, 2021. – 194 с.; Расулов Т.М. Проблемы привлечения и использования иностранной инвестиции в развитии сельского хозяйства (на материалах Согдийской области). Автореф. дисс. ни сойск. три. Ст.к. е. н. - Душанбе: ЭКСПРЕСС, 2004. - 24 с.; Исаков И. Я. Трансформация инструментов государственного регулирования инвестиционной деятельности в аграрном секторе экономики. Автореф. дисс. ни сойск. три. Ст.к. е. н. – Краснодар: КубГАУ, 2013. – 25 с.; Козлов А.А. Особенности воспроизводства инвестиционной деятельности в сельском хозяйстве региона. Автореф. дисс. ни сойск. три. Ст.к. е. н. – Воронеж: Воронежский государственный аграрный университет имени императора Петра I, 2022. – 24 с.; Зарук Н.Ф. я доктор. Развитие инвестиционных процессов в сельском хозяйстве: монография // Москва: Научный консультант, 2017. – 155 с.; Кулов А.Р. Инвестиционное развитие аграрной экономики России. – АгроПресс Дизайн, 2007. – 290 с.; Кибизов Т.Ф. Совершенствование механизма финансирования инвестиционной деятельности в сельском хозяйстве в условиях кризиса (на примере Ставропольского края). Автореф. дисс. ни сойск. три. Ст.к. е. н. - М.:</w:t>
      </w:r>
      <w:r w:rsidRPr="00E83A9E">
        <w:rPr>
          <w:spacing w:val="-2"/>
          <w:sz w:val="20"/>
          <w:szCs w:val="20"/>
          <w:shd w:val="clear" w:color="auto" w:fill="FFFFFF"/>
        </w:rPr>
        <w:t xml:space="preserve"> </w:t>
      </w:r>
      <w:r w:rsidRPr="00E83A9E">
        <w:rPr>
          <w:spacing w:val="-2"/>
          <w:sz w:val="20"/>
          <w:szCs w:val="20"/>
          <w:shd w:val="clear" w:color="auto" w:fill="FFFFFF"/>
          <w:lang w:val="uz-Cyrl-UZ"/>
        </w:rPr>
        <w:t>Всероссийский институт аграрных проблем и информатики им. А.А. Никонова, 2016. – 24 с.; Мустафаева Р. Р. Современные тенденции инвестиций в сельское хозяйство // Экономика, предпринимательство и право Том 11. №6. июнь 2021 г.; Харитонов Н.С. Система государственной поддержки сельского хозяйства в условиях членства России в ВТО: Коллективная монография по материалам круглого стола в рамках седьмой международной научной конференции Инновационное развитие экономики России. Междисциплинарное взаимодействие / Под ред. Киселева С.В. – М.: Экономический факультет МГУ им. Ломоносова М.В., 2016. – 176 с.; Яшин С.Н., Яшина Н.И., Кошелев Е.В. Финансирование инновационно-инвестиционного предприятия: монография. – Нижний Новгород: ВГИПУ, 2010. – 245 с.; Майфат А.В. Инвестирование: способы, риски, субъекты: монография. – М.: Статус, 2020. – 176 с.; Кудрявцева Л.В. Инвестиционная деятельность в агропромышленном комплексе: учеб. поз. – Краснодар: КубГАУ, 2020. – 101 с.; Марковская Е.И. Организация финансирования инвестиционных проектов: теория и практика. – СПб.: Издательство Политехнического университета, 2013. – 183 с.; Крутова И.Н. Развитие проектаного финансирования в АПК: теория, методология, практика. Автореф. дисс. ни сойск. три. Ст.д.н. – Саранск: Мордовский государственный университет им. Огарева Н. П. 2010. – 44 с.</w:t>
      </w:r>
    </w:p>
  </w:footnote>
  <w:footnote w:id="2">
    <w:p w:rsidR="00CC01EC" w:rsidRPr="00E83A9E" w:rsidRDefault="00CC01EC" w:rsidP="00A815A6">
      <w:pPr>
        <w:pStyle w:val="ad"/>
        <w:jc w:val="both"/>
        <w:rPr>
          <w:lang w:val="uz-Cyrl-UZ"/>
        </w:rPr>
      </w:pPr>
      <w:r w:rsidRPr="00E83A9E">
        <w:rPr>
          <w:rStyle w:val="af0"/>
        </w:rPr>
        <w:footnoteRef/>
      </w:r>
      <w:r w:rsidRPr="00E83A9E">
        <w:rPr>
          <w:lang w:val="uz-Cyrl-UZ"/>
        </w:rPr>
        <w:t xml:space="preserve">А.Н. Антипенко. </w:t>
      </w:r>
      <w:r w:rsidRPr="00E83A9E">
        <w:t xml:space="preserve">Совершенствование системы анализа финансовой устойчивости организации в условиях инновационного развития агропромышленного комплекса Республики Беларусь : </w:t>
      </w:r>
      <w:r w:rsidRPr="00E83A9E">
        <w:rPr>
          <w:lang w:val="uz-Cyrl-UZ"/>
        </w:rPr>
        <w:t xml:space="preserve">афторфат дисс. ни трех шагов. c.e.n. - М.: </w:t>
      </w:r>
      <w:r w:rsidRPr="00E83A9E">
        <w:t>Минск-</w:t>
      </w:r>
      <w:r w:rsidRPr="00E83A9E">
        <w:rPr>
          <w:lang w:val="uz-Cyrl-UZ"/>
        </w:rPr>
        <w:t xml:space="preserve"> </w:t>
      </w:r>
      <w:r w:rsidRPr="00E83A9E">
        <w:t xml:space="preserve">2015. </w:t>
      </w:r>
      <w:r w:rsidRPr="00E83A9E">
        <w:rPr>
          <w:lang w:val="uz-Cyrl-UZ"/>
        </w:rPr>
        <w:t xml:space="preserve">28 с </w:t>
      </w:r>
      <w:r w:rsidRPr="00E83A9E">
        <w:t>.</w:t>
      </w:r>
    </w:p>
  </w:footnote>
  <w:footnote w:id="3">
    <w:p w:rsidR="00CC01EC" w:rsidRPr="00E83A9E" w:rsidRDefault="00CC01EC" w:rsidP="00A815A6">
      <w:pPr>
        <w:pStyle w:val="ad"/>
        <w:jc w:val="both"/>
        <w:rPr>
          <w:bCs/>
          <w:lang w:val="uz-Cyrl-UZ"/>
        </w:rPr>
      </w:pPr>
      <w:r w:rsidRPr="00E83A9E">
        <w:rPr>
          <w:rStyle w:val="af0"/>
        </w:rPr>
        <w:footnoteRef/>
      </w:r>
      <w:r w:rsidRPr="00E83A9E">
        <w:rPr>
          <w:bCs/>
          <w:lang w:val="uz-Cyrl-UZ"/>
        </w:rPr>
        <w:t>Г.П.</w:t>
      </w:r>
      <w:r w:rsidRPr="00E83A9E">
        <w:rPr>
          <w:b/>
          <w:bCs/>
          <w:lang w:val="uz-Cyrl-UZ"/>
        </w:rPr>
        <w:t xml:space="preserve"> </w:t>
      </w:r>
      <w:r w:rsidRPr="00E83A9E">
        <w:rPr>
          <w:bCs/>
          <w:lang w:val="uz-Cyrl-UZ"/>
        </w:rPr>
        <w:t xml:space="preserve">Захарова. </w:t>
      </w:r>
      <w:r w:rsidRPr="00E83A9E">
        <w:rPr>
          <w:bCs/>
        </w:rPr>
        <w:t>Методы государственного регулирования</w:t>
      </w:r>
      <w:r w:rsidRPr="00E83A9E">
        <w:rPr>
          <w:bCs/>
          <w:lang w:val="uz-Cyrl-UZ"/>
        </w:rPr>
        <w:t xml:space="preserve"> </w:t>
      </w:r>
      <w:r w:rsidRPr="00E83A9E">
        <w:rPr>
          <w:bCs/>
        </w:rPr>
        <w:t xml:space="preserve">Аграрный сектор и современные условия </w:t>
      </w:r>
      <w:r w:rsidRPr="00E83A9E">
        <w:rPr>
          <w:bCs/>
          <w:lang w:val="uz-Cyrl-UZ"/>
        </w:rPr>
        <w:t xml:space="preserve">// </w:t>
      </w:r>
      <w:r w:rsidRPr="00E83A9E">
        <w:rPr>
          <w:bCs/>
        </w:rPr>
        <w:t xml:space="preserve">Фундаментальные и практические примеры </w:t>
      </w:r>
      <w:r w:rsidRPr="00E83A9E">
        <w:rPr>
          <w:bCs/>
          <w:lang w:val="uz-Cyrl-UZ"/>
        </w:rPr>
        <w:t>. - Моцква, 2016.81-85с.</w:t>
      </w:r>
    </w:p>
  </w:footnote>
  <w:footnote w:id="4">
    <w:p w:rsidR="00CC01EC" w:rsidRPr="00E83A9E" w:rsidRDefault="00CC01EC" w:rsidP="0079280C">
      <w:pPr>
        <w:pStyle w:val="ad"/>
        <w:jc w:val="both"/>
        <w:rPr>
          <w:lang w:val="uz-Cyrl-UZ"/>
        </w:rPr>
      </w:pPr>
      <w:r w:rsidRPr="00E83A9E">
        <w:rPr>
          <w:rStyle w:val="af0"/>
        </w:rPr>
        <w:footnoteRef/>
      </w:r>
      <w:r w:rsidRPr="00DF774B">
        <w:rPr>
          <w:lang w:val="ru-RU"/>
        </w:rPr>
        <w:t xml:space="preserve"> </w:t>
      </w:r>
      <w:r w:rsidRPr="00E83A9E">
        <w:rPr>
          <w:shd w:val="clear" w:color="auto" w:fill="FFFFFF"/>
          <w:lang w:val="uz-Cyrl-UZ"/>
        </w:rPr>
        <w:t xml:space="preserve">Мари Вандер Донкт, Филип Чан, Андреа Сильвестрини. Новая глобальная база данных по инвестициям в сельское хозяйство и акционерному капиталу. Апрель 2021. – С. 106. </w:t>
      </w:r>
      <w:hyperlink r:id="rId7" w:history="1">
        <w:r w:rsidRPr="00E83A9E">
          <w:rPr>
            <w:rStyle w:val="af"/>
            <w:color w:val="auto"/>
            <w:u w:val="none"/>
          </w:rPr>
          <w:t xml:space="preserve">Новая глобальная база данных по инвестициям в сельское хозяйство и акционерному капиталу – ScienceDirect </w:t>
        </w:r>
      </w:hyperlink>
      <w:r w:rsidRPr="00E83A9E">
        <w:rPr>
          <w:lang w:val="uz-Cyrl-UZ"/>
        </w:rPr>
        <w:t>.</w:t>
      </w:r>
    </w:p>
  </w:footnote>
  <w:footnote w:id="5">
    <w:p w:rsidR="00CC01EC" w:rsidRPr="00E83A9E" w:rsidRDefault="00CC01EC" w:rsidP="0079280C">
      <w:pPr>
        <w:pStyle w:val="ad"/>
        <w:jc w:val="both"/>
      </w:pPr>
      <w:r w:rsidRPr="00E83A9E">
        <w:rPr>
          <w:rStyle w:val="af0"/>
        </w:rPr>
        <w:footnoteRef/>
      </w:r>
      <w:r w:rsidRPr="00E83A9E">
        <w:t xml:space="preserve"> </w:t>
      </w:r>
      <w:hyperlink r:id="rId8" w:history="1">
        <w:r w:rsidRPr="00E83A9E">
          <w:rPr>
            <w:rStyle w:val="af"/>
            <w:color w:val="auto"/>
            <w:u w:val="none"/>
          </w:rPr>
          <w:t xml:space="preserve">Инвестиции как фактор повышения эффективности производства в аграрных формированиях (kubagro.ru) </w:t>
        </w:r>
      </w:hyperlink>
      <w:r w:rsidRPr="00E83A9E">
        <w:t>.</w:t>
      </w:r>
    </w:p>
  </w:footnote>
  <w:footnote w:id="6">
    <w:p w:rsidR="00CC01EC" w:rsidRPr="00E83A9E" w:rsidRDefault="00CC01EC" w:rsidP="00D37ED8">
      <w:pPr>
        <w:pStyle w:val="ad"/>
      </w:pPr>
      <w:r w:rsidRPr="00E83A9E">
        <w:rPr>
          <w:rStyle w:val="af0"/>
        </w:rPr>
        <w:footnoteRef/>
      </w:r>
      <w:r w:rsidRPr="00E83A9E">
        <w:t>Блауг М. Хере, Франсуа // 100 великих экономистов, Кейнс = Великий</w:t>
      </w:r>
    </w:p>
    <w:p w:rsidR="00CC01EC" w:rsidRPr="00DF774B" w:rsidRDefault="00CC01EC" w:rsidP="00D37ED8">
      <w:pPr>
        <w:pStyle w:val="ad"/>
        <w:rPr>
          <w:lang w:val="ru-RU"/>
        </w:rPr>
      </w:pPr>
      <w:r w:rsidRPr="00DF774B">
        <w:rPr>
          <w:lang w:val="ru-RU"/>
        </w:rPr>
        <w:t>Экономисты до Кейнса: Введение в жизнь и творчество ста великих деятелей.</w:t>
      </w:r>
    </w:p>
    <w:p w:rsidR="00CC01EC" w:rsidRPr="00DF774B" w:rsidRDefault="00CC01EC" w:rsidP="00D37ED8">
      <w:pPr>
        <w:pStyle w:val="ad"/>
        <w:rPr>
          <w:lang w:val="ru-RU"/>
        </w:rPr>
      </w:pPr>
      <w:r w:rsidRPr="00DF774B">
        <w:rPr>
          <w:lang w:val="ru-RU"/>
        </w:rPr>
        <w:t xml:space="preserve">Экономисты прошлого. — </w:t>
      </w:r>
      <w:r w:rsidRPr="00E83A9E">
        <w:t xml:space="preserve">СПб </w:t>
      </w:r>
      <w:r w:rsidRPr="00DF774B">
        <w:rPr>
          <w:lang w:val="ru-RU"/>
        </w:rPr>
        <w:t xml:space="preserve">.: </w:t>
      </w:r>
      <w:r w:rsidRPr="00E83A9E">
        <w:t xml:space="preserve">Экономикус </w:t>
      </w:r>
      <w:r w:rsidRPr="00DF774B">
        <w:rPr>
          <w:lang w:val="ru-RU"/>
        </w:rPr>
        <w:t xml:space="preserve">, 2008. — </w:t>
      </w:r>
      <w:r w:rsidRPr="00E83A9E">
        <w:t xml:space="preserve">С. </w:t>
      </w:r>
      <w:r w:rsidRPr="00DF774B">
        <w:rPr>
          <w:lang w:val="ru-RU"/>
        </w:rPr>
        <w:t xml:space="preserve">128-130. — 352 </w:t>
      </w:r>
      <w:r w:rsidRPr="00E83A9E">
        <w:t xml:space="preserve">с </w:t>
      </w:r>
      <w:r w:rsidRPr="00DF774B">
        <w:rPr>
          <w:lang w:val="ru-RU"/>
        </w:rPr>
        <w:t>.</w:t>
      </w:r>
    </w:p>
  </w:footnote>
  <w:footnote w:id="7">
    <w:p w:rsidR="00CC01EC" w:rsidRPr="00E83A9E" w:rsidRDefault="00CC01EC" w:rsidP="00D37ED8">
      <w:pPr>
        <w:pStyle w:val="ad"/>
      </w:pPr>
      <w:r w:rsidRPr="00E83A9E">
        <w:rPr>
          <w:rStyle w:val="af0"/>
        </w:rPr>
        <w:footnoteRef/>
      </w:r>
      <w:r w:rsidRPr="00E83A9E">
        <w:t>Смит А. Исследование о природе и причинах богатства народов. — М.: Эксмо, 2007. — 960.</w:t>
      </w:r>
    </w:p>
  </w:footnote>
  <w:footnote w:id="8">
    <w:p w:rsidR="00CC01EC" w:rsidRPr="00E83A9E" w:rsidRDefault="00CC01EC">
      <w:pPr>
        <w:pStyle w:val="ad"/>
      </w:pPr>
      <w:r w:rsidRPr="00E83A9E">
        <w:rPr>
          <w:rStyle w:val="af0"/>
        </w:rPr>
        <w:footnoteRef/>
      </w:r>
      <w:r w:rsidRPr="00E83A9E">
        <w:t>Кейнс, Джон Мейнард // 100 великих экономистов до Кейнса</w:t>
      </w:r>
    </w:p>
  </w:footnote>
  <w:footnote w:id="9">
    <w:p w:rsidR="00CC01EC" w:rsidRPr="00DF774B" w:rsidRDefault="00CC01EC" w:rsidP="00D37ED8">
      <w:pPr>
        <w:pStyle w:val="ad"/>
        <w:rPr>
          <w:lang w:val="ru-RU"/>
        </w:rPr>
      </w:pPr>
      <w:r w:rsidRPr="00E83A9E">
        <w:rPr>
          <w:rStyle w:val="af0"/>
        </w:rPr>
        <w:footnoteRef/>
      </w:r>
      <w:r w:rsidRPr="00DF774B">
        <w:rPr>
          <w:lang w:val="ru-RU"/>
        </w:rPr>
        <w:t xml:space="preserve"> </w:t>
      </w:r>
      <w:r w:rsidRPr="00E83A9E">
        <w:t>Блауг</w:t>
      </w:r>
      <w:r w:rsidRPr="00DF774B">
        <w:rPr>
          <w:lang w:val="ru-RU"/>
        </w:rPr>
        <w:t xml:space="preserve"> </w:t>
      </w:r>
      <w:r w:rsidRPr="00E83A9E">
        <w:t xml:space="preserve">М. Кейнс </w:t>
      </w:r>
      <w:r w:rsidRPr="00DF774B">
        <w:rPr>
          <w:lang w:val="ru-RU"/>
        </w:rPr>
        <w:t xml:space="preserve">, Джон </w:t>
      </w:r>
      <w:r w:rsidRPr="00E83A9E">
        <w:t xml:space="preserve">Мейнард </w:t>
      </w:r>
      <w:r w:rsidRPr="00DF774B">
        <w:rPr>
          <w:lang w:val="ru-RU"/>
        </w:rPr>
        <w:t xml:space="preserve">// 100 </w:t>
      </w:r>
      <w:r w:rsidRPr="00E83A9E">
        <w:t>крупных</w:t>
      </w:r>
      <w:r w:rsidRPr="00DF774B">
        <w:rPr>
          <w:lang w:val="ru-RU"/>
        </w:rPr>
        <w:t xml:space="preserve"> </w:t>
      </w:r>
      <w:r w:rsidRPr="00E83A9E">
        <w:t>экономисты</w:t>
      </w:r>
      <w:r w:rsidRPr="00DF774B">
        <w:rPr>
          <w:lang w:val="ru-RU"/>
        </w:rPr>
        <w:t xml:space="preserve"> </w:t>
      </w:r>
      <w:r w:rsidRPr="00E83A9E">
        <w:t>к</w:t>
      </w:r>
      <w:r w:rsidRPr="00DF774B">
        <w:rPr>
          <w:lang w:val="ru-RU"/>
        </w:rPr>
        <w:t xml:space="preserve"> </w:t>
      </w:r>
      <w:r w:rsidRPr="00E83A9E">
        <w:t xml:space="preserve">Кейнс </w:t>
      </w:r>
      <w:r w:rsidRPr="00DF774B">
        <w:rPr>
          <w:lang w:val="ru-RU"/>
        </w:rPr>
        <w:t xml:space="preserve">= Великие экономисты до Кейнса: Введение в жизнь и труды ста великих экономистов прошлого. — </w:t>
      </w:r>
      <w:r w:rsidRPr="00E83A9E">
        <w:t xml:space="preserve">СПб </w:t>
      </w:r>
      <w:r w:rsidRPr="00DF774B">
        <w:rPr>
          <w:lang w:val="ru-RU"/>
        </w:rPr>
        <w:t xml:space="preserve">.: </w:t>
      </w:r>
      <w:r w:rsidRPr="00E83A9E">
        <w:t xml:space="preserve">Экономикус </w:t>
      </w:r>
      <w:r w:rsidRPr="00DF774B">
        <w:rPr>
          <w:lang w:val="ru-RU"/>
        </w:rPr>
        <w:t xml:space="preserve">, 2008. — </w:t>
      </w:r>
      <w:r w:rsidRPr="00E83A9E">
        <w:t xml:space="preserve">С. </w:t>
      </w:r>
      <w:r w:rsidRPr="00DF774B">
        <w:rPr>
          <w:lang w:val="ru-RU"/>
        </w:rPr>
        <w:t xml:space="preserve">121-124. — 352 </w:t>
      </w:r>
      <w:r w:rsidRPr="00E83A9E">
        <w:t xml:space="preserve">с </w:t>
      </w:r>
      <w:r w:rsidRPr="00DF774B">
        <w:rPr>
          <w:lang w:val="ru-RU"/>
        </w:rPr>
        <w:t>.</w:t>
      </w:r>
    </w:p>
  </w:footnote>
  <w:footnote w:id="10">
    <w:p w:rsidR="00CC01EC" w:rsidRPr="00E83A9E" w:rsidRDefault="00CC01EC" w:rsidP="0079280C">
      <w:pPr>
        <w:pStyle w:val="ad"/>
        <w:jc w:val="both"/>
        <w:rPr>
          <w:lang w:val="uz-Cyrl-UZ"/>
        </w:rPr>
      </w:pPr>
      <w:r w:rsidRPr="00E83A9E">
        <w:rPr>
          <w:rStyle w:val="af0"/>
        </w:rPr>
        <w:footnoteRef/>
      </w:r>
      <w:r w:rsidRPr="00E83A9E">
        <w:t xml:space="preserve">Алимжанова Д. Проблемы привлечения иностранных инвестиций и аграрного сектора экономики страны ( </w:t>
      </w:r>
      <w:hyperlink r:id="rId9" w:history="1">
        <w:r w:rsidRPr="00E83A9E">
          <w:rPr>
            <w:lang w:val="uz-Cyrl-UZ"/>
          </w:rPr>
          <w:t xml:space="preserve">__[#483468]-574842.pdf </w:t>
        </w:r>
      </w:hyperlink>
      <w:r w:rsidRPr="00E83A9E">
        <w:rPr>
          <w:lang w:val="uz-Cyrl-UZ"/>
        </w:rPr>
        <w:t>).</w:t>
      </w:r>
    </w:p>
  </w:footnote>
  <w:footnote w:id="11">
    <w:p w:rsidR="00CC01EC" w:rsidRPr="00E83A9E" w:rsidRDefault="00CC01EC" w:rsidP="0079280C">
      <w:pPr>
        <w:pStyle w:val="ad"/>
        <w:jc w:val="both"/>
        <w:rPr>
          <w:lang w:val="uz-Cyrl-UZ"/>
        </w:rPr>
      </w:pPr>
      <w:r w:rsidRPr="00E83A9E">
        <w:rPr>
          <w:rStyle w:val="af0"/>
        </w:rPr>
        <w:footnoteRef/>
      </w:r>
      <w:r w:rsidRPr="00E83A9E">
        <w:rPr>
          <w:lang w:val="uz-Cyrl-UZ"/>
        </w:rPr>
        <w:t>Чориев К.А. Формирование рыночной инфраструктуры — гарантия углубления экономических реформ // Основные направления углубления рыночных реформ и развития инфраструктуры в сельской местности: сборник докладов республиканского научно-практического семинара. – Ташкент: УзБИИТИ, 1998. С. 15.</w:t>
      </w:r>
    </w:p>
  </w:footnote>
  <w:footnote w:id="12">
    <w:p w:rsidR="00CC01EC" w:rsidRPr="00E83A9E" w:rsidRDefault="00CC01EC" w:rsidP="0079280C">
      <w:pPr>
        <w:pStyle w:val="ad"/>
        <w:jc w:val="both"/>
        <w:rPr>
          <w:lang w:val="uz-Cyrl-UZ"/>
        </w:rPr>
      </w:pPr>
      <w:r w:rsidRPr="00E83A9E">
        <w:rPr>
          <w:rStyle w:val="af0"/>
        </w:rPr>
        <w:footnoteRef/>
      </w:r>
      <w:r w:rsidRPr="00E83A9E">
        <w:rPr>
          <w:lang w:val="uz-Cyrl-UZ"/>
        </w:rPr>
        <w:t xml:space="preserve">Шодмонов Е.Ш. Основные направления повышения активности банков в углублении аграрных реформ в Узбекистане. Ифн ильм. дар. написано за степень </w:t>
      </w:r>
      <w:r w:rsidRPr="00DF774B">
        <w:rPr>
          <w:lang w:val="ru-RU"/>
        </w:rPr>
        <w:t xml:space="preserve">дисс </w:t>
      </w:r>
      <w:r w:rsidRPr="00E83A9E">
        <w:rPr>
          <w:lang w:val="uz-Cyrl-UZ"/>
        </w:rPr>
        <w:t xml:space="preserve">. авторская ссылка </w:t>
      </w:r>
      <w:r w:rsidRPr="00DF774B">
        <w:rPr>
          <w:lang w:val="ru-RU"/>
        </w:rPr>
        <w:t xml:space="preserve">– Т </w:t>
      </w:r>
      <w:r w:rsidRPr="00E83A9E">
        <w:rPr>
          <w:lang w:val="uz-Cyrl-UZ"/>
        </w:rPr>
        <w:t xml:space="preserve">.: </w:t>
      </w:r>
      <w:r w:rsidRPr="00DF774B">
        <w:rPr>
          <w:lang w:val="ru-RU"/>
        </w:rPr>
        <w:t xml:space="preserve">« </w:t>
      </w:r>
      <w:r w:rsidRPr="00E83A9E">
        <w:rPr>
          <w:lang w:val="uz-Cyrl-UZ"/>
        </w:rPr>
        <w:t xml:space="preserve">БМА </w:t>
      </w:r>
      <w:r w:rsidRPr="00DF774B">
        <w:rPr>
          <w:lang w:val="ru-RU"/>
        </w:rPr>
        <w:t xml:space="preserve">» </w:t>
      </w:r>
      <w:r w:rsidRPr="00E83A9E">
        <w:rPr>
          <w:lang w:val="uz-Cyrl-UZ"/>
        </w:rPr>
        <w:t>, 2005. – 124 с.</w:t>
      </w:r>
    </w:p>
  </w:footnote>
  <w:footnote w:id="13">
    <w:p w:rsidR="00CC01EC" w:rsidRPr="00E83A9E" w:rsidRDefault="00CC01EC" w:rsidP="00C72E31">
      <w:pPr>
        <w:pStyle w:val="ad"/>
        <w:jc w:val="both"/>
        <w:rPr>
          <w:lang w:val="uz-Cyrl-UZ"/>
        </w:rPr>
      </w:pPr>
      <w:r w:rsidRPr="00E83A9E">
        <w:rPr>
          <w:rStyle w:val="af0"/>
        </w:rPr>
        <w:footnoteRef/>
      </w:r>
      <w:r w:rsidRPr="00E83A9E">
        <w:rPr>
          <w:lang w:val="uz-Cyrl-UZ"/>
        </w:rPr>
        <w:t>Число людей, занятых в неформальном секторе экономики, сокращается — Новости Узбекистана (nuz.uz).</w:t>
      </w:r>
    </w:p>
  </w:footnote>
  <w:footnote w:id="14">
    <w:p w:rsidR="00CC01EC" w:rsidRPr="00E83A9E" w:rsidRDefault="00CC01EC" w:rsidP="0027090B">
      <w:pPr>
        <w:pStyle w:val="ad"/>
        <w:jc w:val="both"/>
        <w:rPr>
          <w:lang w:val="uz-Cyrl-UZ"/>
        </w:rPr>
      </w:pPr>
      <w:r w:rsidRPr="00E83A9E">
        <w:rPr>
          <w:rStyle w:val="af0"/>
        </w:rPr>
        <w:footnoteRef/>
      </w:r>
      <w:r w:rsidRPr="00DF774B">
        <w:rPr>
          <w:lang w:val="ru-RU"/>
        </w:rPr>
        <w:t xml:space="preserve"> </w:t>
      </w:r>
      <w:r w:rsidRPr="00E83A9E">
        <w:rPr>
          <w:lang w:val="uz-Cyrl-UZ"/>
        </w:rPr>
        <w:t>Таблица составлена автором на основе результатов исследования. При ее формировании был проанализирован характер определения инвестиций в различные источники.</w:t>
      </w:r>
    </w:p>
  </w:footnote>
  <w:footnote w:id="15">
    <w:p w:rsidR="00CC01EC" w:rsidRPr="00E83A9E" w:rsidRDefault="00CC01EC" w:rsidP="0027090B">
      <w:pPr>
        <w:pStyle w:val="ad"/>
        <w:jc w:val="both"/>
        <w:rPr>
          <w:lang w:val="uz-Cyrl-UZ"/>
        </w:rPr>
      </w:pPr>
      <w:r w:rsidRPr="00E83A9E">
        <w:rPr>
          <w:rStyle w:val="af0"/>
        </w:rPr>
        <w:footnoteRef/>
      </w:r>
      <w:r w:rsidRPr="00E83A9E">
        <w:rPr>
          <w:lang w:val="uz-Cyrl-UZ"/>
        </w:rPr>
        <w:t xml:space="preserve">Национальная энциклопедия Узбекистана. Буква «И». – Т.: Государственное научное издательство «О’МЕ». 2002. Том 4. 145 </w:t>
      </w:r>
      <w:r w:rsidRPr="00DF774B">
        <w:rPr>
          <w:lang w:val="ru-RU"/>
        </w:rPr>
        <w:t xml:space="preserve">с </w:t>
      </w:r>
      <w:r w:rsidRPr="00E83A9E">
        <w:rPr>
          <w:lang w:val="uz-Cyrl-UZ"/>
        </w:rPr>
        <w:t>.</w:t>
      </w:r>
    </w:p>
  </w:footnote>
  <w:footnote w:id="16">
    <w:p w:rsidR="00CC01EC" w:rsidRPr="00E83A9E" w:rsidRDefault="00CC01EC" w:rsidP="0027090B">
      <w:pPr>
        <w:pStyle w:val="ad"/>
        <w:jc w:val="both"/>
        <w:rPr>
          <w:lang w:val="uz-Cyrl-UZ"/>
        </w:rPr>
      </w:pPr>
      <w:r w:rsidRPr="00E83A9E">
        <w:rPr>
          <w:rStyle w:val="af0"/>
        </w:rPr>
        <w:footnoteRef/>
      </w:r>
      <w:r w:rsidRPr="00E83A9E">
        <w:rPr>
          <w:lang w:val="uz-Cyrl-UZ"/>
        </w:rPr>
        <w:t>Толковый словарь узбекского языка: более 80 000 слов и словосочетаний. Редакционная коллегия Т. Мирзаева (глава) и др. – Т.: «Академия наук Республики Узбекистан», 2008. С. 207.</w:t>
      </w:r>
    </w:p>
  </w:footnote>
  <w:footnote w:id="17">
    <w:p w:rsidR="00CC01EC" w:rsidRPr="00E83A9E" w:rsidRDefault="00CC01EC" w:rsidP="0027090B">
      <w:pPr>
        <w:pStyle w:val="ad"/>
        <w:jc w:val="both"/>
        <w:rPr>
          <w:lang w:val="uz-Cyrl-UZ"/>
        </w:rPr>
      </w:pPr>
      <w:r w:rsidRPr="00E83A9E">
        <w:rPr>
          <w:rStyle w:val="af0"/>
        </w:rPr>
        <w:footnoteRef/>
      </w:r>
      <w:r w:rsidRPr="00E83A9E">
        <w:rPr>
          <w:lang w:val="uz-Cyrl-UZ"/>
        </w:rPr>
        <w:t>https://lex.uz/docs/4664142.</w:t>
      </w:r>
    </w:p>
  </w:footnote>
  <w:footnote w:id="18">
    <w:p w:rsidR="00CC01EC" w:rsidRPr="00E83A9E" w:rsidRDefault="00CC01EC" w:rsidP="0027090B">
      <w:pPr>
        <w:pStyle w:val="ad"/>
        <w:jc w:val="both"/>
        <w:rPr>
          <w:lang w:val="uz-Cyrl-UZ"/>
        </w:rPr>
      </w:pPr>
      <w:r w:rsidRPr="00E83A9E">
        <w:rPr>
          <w:rStyle w:val="af0"/>
        </w:rPr>
        <w:footnoteRef/>
      </w:r>
      <w:r w:rsidRPr="00E83A9E">
        <w:rPr>
          <w:lang w:val="uz-Cyrl-UZ"/>
        </w:rPr>
        <w:t xml:space="preserve">Марк Блауг. 100 великих экономистов, подражавших Кейнсу. Перевод с английского языка под редакцией А.А. Фофоновой. – СПб: Economicus. 2009. </w:t>
      </w:r>
      <w:r w:rsidRPr="00DF774B">
        <w:rPr>
          <w:lang w:val="ru-RU"/>
        </w:rPr>
        <w:t xml:space="preserve">– С. </w:t>
      </w:r>
      <w:r w:rsidRPr="00E83A9E">
        <w:rPr>
          <w:lang w:val="uz-Cyrl-UZ"/>
        </w:rPr>
        <w:t>128-130.</w:t>
      </w:r>
    </w:p>
  </w:footnote>
  <w:footnote w:id="19">
    <w:p w:rsidR="00CC01EC" w:rsidRPr="00E83A9E" w:rsidRDefault="00CC01EC" w:rsidP="0027090B">
      <w:pPr>
        <w:pStyle w:val="ad"/>
        <w:jc w:val="both"/>
        <w:rPr>
          <w:lang w:val="uz-Cyrl-UZ"/>
        </w:rPr>
      </w:pPr>
      <w:r w:rsidRPr="00E83A9E">
        <w:rPr>
          <w:rStyle w:val="af0"/>
        </w:rPr>
        <w:footnoteRef/>
      </w:r>
      <w:r w:rsidRPr="00DF774B">
        <w:rPr>
          <w:lang w:val="ru-RU"/>
        </w:rPr>
        <w:t xml:space="preserve"> </w:t>
      </w:r>
      <w:r w:rsidRPr="00E83A9E">
        <w:rPr>
          <w:shd w:val="clear" w:color="auto" w:fill="FFFFFF"/>
          <w:lang w:val="uz-Cyrl-UZ"/>
        </w:rPr>
        <w:t xml:space="preserve">Мари Вандер Донкт, Филип Чан, Андреа Сильвестрини. Новая глобальная база данных по инвестициям в сельское хозяйство и акционерному капиталу. Апрель 2021. – С. 106. </w:t>
      </w:r>
      <w:hyperlink r:id="rId10" w:history="1">
        <w:r w:rsidRPr="00E83A9E">
          <w:rPr>
            <w:rStyle w:val="af"/>
            <w:color w:val="auto"/>
          </w:rPr>
          <w:t xml:space="preserve">Новая глобальная база данных по инвестициям в сельское хозяйство и акционерному капиталу – ScienceDirect </w:t>
        </w:r>
      </w:hyperlink>
      <w:r w:rsidRPr="00E83A9E">
        <w:rPr>
          <w:lang w:val="uz-Cyrl-UZ"/>
        </w:rPr>
        <w:t>.</w:t>
      </w:r>
    </w:p>
  </w:footnote>
  <w:footnote w:id="20">
    <w:p w:rsidR="00CC01EC" w:rsidRPr="00E83A9E" w:rsidRDefault="00CC01EC" w:rsidP="0027090B">
      <w:pPr>
        <w:pStyle w:val="ad"/>
        <w:jc w:val="both"/>
      </w:pPr>
      <w:r w:rsidRPr="00E83A9E">
        <w:rPr>
          <w:rStyle w:val="af0"/>
        </w:rPr>
        <w:footnoteRef/>
      </w:r>
      <w:r w:rsidRPr="00E83A9E">
        <w:t xml:space="preserve"> </w:t>
      </w:r>
      <w:hyperlink r:id="rId11" w:history="1">
        <w:r w:rsidRPr="00E83A9E">
          <w:rPr>
            <w:rStyle w:val="af"/>
            <w:color w:val="auto"/>
          </w:rPr>
          <w:t xml:space="preserve">Инвестиции как фактор повышения эффективности производства в аграрных формированиях (kubagro.ru) </w:t>
        </w:r>
      </w:hyperlink>
      <w:r w:rsidRPr="00E83A9E">
        <w:t>.</w:t>
      </w:r>
    </w:p>
  </w:footnote>
  <w:footnote w:id="21">
    <w:p w:rsidR="00CC01EC" w:rsidRPr="00E83A9E" w:rsidRDefault="00CC01EC" w:rsidP="0027090B">
      <w:pPr>
        <w:pStyle w:val="ad"/>
        <w:jc w:val="both"/>
        <w:rPr>
          <w:lang w:val="uz-Cyrl-UZ"/>
        </w:rPr>
      </w:pPr>
      <w:r w:rsidRPr="00E83A9E">
        <w:rPr>
          <w:rStyle w:val="af0"/>
        </w:rPr>
        <w:footnoteRef/>
      </w:r>
      <w:r w:rsidRPr="00E83A9E">
        <w:t xml:space="preserve">Алимжанова Д. Проблемы привлечения иностранных инвестиций и аграрного сектора экономики страны ( </w:t>
      </w:r>
      <w:hyperlink r:id="rId12" w:history="1">
        <w:r w:rsidRPr="00E83A9E">
          <w:rPr>
            <w:lang w:val="uz-Cyrl-UZ"/>
          </w:rPr>
          <w:t xml:space="preserve">__[#483468]-574842.pdf </w:t>
        </w:r>
      </w:hyperlink>
      <w:r w:rsidRPr="00E83A9E">
        <w:rPr>
          <w:lang w:val="uz-Cyrl-UZ"/>
        </w:rPr>
        <w:t>).</w:t>
      </w:r>
    </w:p>
  </w:footnote>
  <w:footnote w:id="22">
    <w:p w:rsidR="00CC01EC" w:rsidRPr="00E83A9E" w:rsidRDefault="00CC01EC" w:rsidP="0027090B">
      <w:pPr>
        <w:pStyle w:val="ad"/>
        <w:jc w:val="both"/>
      </w:pPr>
      <w:r w:rsidRPr="00E83A9E">
        <w:rPr>
          <w:rStyle w:val="af0"/>
        </w:rPr>
        <w:footnoteRef/>
      </w:r>
      <w:r w:rsidRPr="00DF774B">
        <w:rPr>
          <w:lang w:val="ru-RU"/>
        </w:rPr>
        <w:t xml:space="preserve"> </w:t>
      </w:r>
      <w:r w:rsidRPr="00E83A9E">
        <w:t>Отчет</w:t>
      </w:r>
      <w:r w:rsidRPr="00DF774B">
        <w:rPr>
          <w:lang w:val="ru-RU"/>
        </w:rPr>
        <w:t xml:space="preserve"> </w:t>
      </w:r>
      <w:r w:rsidRPr="00E83A9E">
        <w:t>Мир</w:t>
      </w:r>
      <w:r w:rsidRPr="00DF774B">
        <w:rPr>
          <w:lang w:val="ru-RU"/>
        </w:rPr>
        <w:t xml:space="preserve"> </w:t>
      </w:r>
      <w:r w:rsidRPr="00E83A9E">
        <w:t xml:space="preserve">банк </w:t>
      </w:r>
      <w:r w:rsidRPr="00DF774B">
        <w:rPr>
          <w:lang w:val="ru-RU"/>
        </w:rPr>
        <w:t xml:space="preserve">/ Доклад о мировом развитии 2011: Улучшение инвестиционного климата для всех (Доклад о мировом развитии) // Международный банк реконструкции и развития / Всемирный банк. 2010. </w:t>
      </w:r>
      <w:r w:rsidRPr="00E83A9E">
        <w:t>Оксьютик Г.П. Иностранные инвестиции в России. Монография. - СПб.: Издательство Санкт-Петербургского университета управления и экономики, 2014. - С. 15.</w:t>
      </w:r>
    </w:p>
  </w:footnote>
  <w:footnote w:id="23">
    <w:p w:rsidR="00CC01EC" w:rsidRPr="00DF774B" w:rsidRDefault="00CC01EC" w:rsidP="0027090B">
      <w:pPr>
        <w:pStyle w:val="ad"/>
        <w:jc w:val="both"/>
        <w:rPr>
          <w:lang w:val="ru-RU"/>
        </w:rPr>
      </w:pPr>
      <w:r w:rsidRPr="00E83A9E">
        <w:rPr>
          <w:rStyle w:val="af0"/>
        </w:rPr>
        <w:footnoteRef/>
      </w:r>
      <w:r w:rsidRPr="00DF774B">
        <w:rPr>
          <w:lang w:val="ru-RU"/>
        </w:rPr>
        <w:t>№ ОʻР</w:t>
      </w:r>
      <w:r w:rsidRPr="00E83A9E">
        <w:rPr>
          <w:lang w:val="en-US"/>
        </w:rPr>
        <w:t>Q</w:t>
      </w:r>
      <w:r w:rsidRPr="00DF774B">
        <w:rPr>
          <w:lang w:val="ru-RU"/>
        </w:rPr>
        <w:t>-598 от 25.12.2019. Об инвестициях и инвестиционной деятельности (лекс.уз).</w:t>
      </w:r>
    </w:p>
  </w:footnote>
  <w:footnote w:id="24">
    <w:p w:rsidR="00CC01EC" w:rsidRPr="00E83A9E" w:rsidRDefault="00CC01EC" w:rsidP="0027090B">
      <w:pPr>
        <w:pStyle w:val="ad"/>
        <w:jc w:val="both"/>
        <w:rPr>
          <w:lang w:val="uz-Cyrl-UZ"/>
        </w:rPr>
      </w:pPr>
      <w:r w:rsidRPr="00E83A9E">
        <w:rPr>
          <w:rStyle w:val="af0"/>
        </w:rPr>
        <w:footnoteRef/>
      </w:r>
      <w:r w:rsidRPr="00E83A9E">
        <w:rPr>
          <w:lang w:val="uz-Cyrl-UZ"/>
        </w:rPr>
        <w:t xml:space="preserve">Хори </w:t>
      </w:r>
      <w:r w:rsidRPr="00DF774B">
        <w:rPr>
          <w:lang w:val="ru-RU"/>
        </w:rPr>
        <w:t xml:space="preserve">ев </w:t>
      </w:r>
      <w:r w:rsidRPr="00E83A9E">
        <w:rPr>
          <w:lang w:val="uz-Cyrl-UZ"/>
        </w:rPr>
        <w:t xml:space="preserve">К.А. Формирование рыночной инфраструктуры — гарантия углубления экономических реформ // Основные направления углубления рыночных реформ и развития инфраструктуры в сельской местности: сборник докладов республиканского научно-практического семинара. – Ташкент: УзБИИТИ, </w:t>
      </w:r>
      <w:r w:rsidRPr="00DF774B">
        <w:rPr>
          <w:lang w:val="ru-RU"/>
        </w:rPr>
        <w:t xml:space="preserve">1998. 1 </w:t>
      </w:r>
      <w:r w:rsidRPr="00E83A9E">
        <w:rPr>
          <w:lang w:val="uz-Cyrl-UZ"/>
        </w:rPr>
        <w:t xml:space="preserve">5 </w:t>
      </w:r>
      <w:r w:rsidRPr="00DF774B">
        <w:rPr>
          <w:lang w:val="ru-RU"/>
        </w:rPr>
        <w:t xml:space="preserve">- с </w:t>
      </w:r>
      <w:r w:rsidRPr="00E83A9E">
        <w:rPr>
          <w:lang w:val="uz-Cyrl-UZ"/>
        </w:rPr>
        <w:t>.</w:t>
      </w:r>
    </w:p>
  </w:footnote>
  <w:footnote w:id="25">
    <w:p w:rsidR="00CC01EC" w:rsidRPr="00E83A9E" w:rsidRDefault="00CC01EC" w:rsidP="0027090B">
      <w:pPr>
        <w:pStyle w:val="ad"/>
        <w:jc w:val="both"/>
        <w:rPr>
          <w:lang w:val="uz-Cyrl-UZ"/>
        </w:rPr>
      </w:pPr>
      <w:r w:rsidRPr="00E83A9E">
        <w:rPr>
          <w:rStyle w:val="af0"/>
        </w:rPr>
        <w:footnoteRef/>
      </w:r>
      <w:r w:rsidRPr="00E83A9E">
        <w:rPr>
          <w:lang w:val="uz-Cyrl-UZ"/>
        </w:rPr>
        <w:t>Вахабов А.В. Роль банковской системы в повышении уровня жизни сельского населения. Роль банковской и финансовой системы в развитии сельских районов и повышении уровня жизни населения. Материалы Международной научно-практической конференции. – Ташкент: Финансы, 2009. С. 15-23.</w:t>
      </w:r>
    </w:p>
  </w:footnote>
  <w:footnote w:id="26">
    <w:p w:rsidR="00CC01EC" w:rsidRPr="00E83A9E" w:rsidRDefault="00CC01EC" w:rsidP="0027090B">
      <w:pPr>
        <w:pStyle w:val="ad"/>
        <w:jc w:val="both"/>
        <w:rPr>
          <w:lang w:val="uz-Cyrl-UZ"/>
        </w:rPr>
      </w:pPr>
      <w:r w:rsidRPr="00E83A9E">
        <w:rPr>
          <w:rStyle w:val="af0"/>
        </w:rPr>
        <w:footnoteRef/>
      </w:r>
      <w:r w:rsidRPr="00E83A9E">
        <w:rPr>
          <w:lang w:val="uz-Cyrl-UZ"/>
        </w:rPr>
        <w:t xml:space="preserve">Шодмонов Е.Ш. Основные направления повышения активности банков в углублении аграрных реформ в Узбекистане. Ифн ильм. дар. написано за степень </w:t>
      </w:r>
      <w:r w:rsidRPr="00DF774B">
        <w:rPr>
          <w:lang w:val="ru-RU"/>
        </w:rPr>
        <w:t xml:space="preserve">дисс </w:t>
      </w:r>
      <w:r w:rsidRPr="00E83A9E">
        <w:rPr>
          <w:lang w:val="uz-Cyrl-UZ"/>
        </w:rPr>
        <w:t xml:space="preserve">. авторская ссылка </w:t>
      </w:r>
      <w:r w:rsidRPr="00DF774B">
        <w:rPr>
          <w:lang w:val="ru-RU"/>
        </w:rPr>
        <w:t xml:space="preserve">– Т </w:t>
      </w:r>
      <w:r w:rsidRPr="00E83A9E">
        <w:rPr>
          <w:lang w:val="uz-Cyrl-UZ"/>
        </w:rPr>
        <w:t xml:space="preserve">.: </w:t>
      </w:r>
      <w:r w:rsidRPr="00DF774B">
        <w:rPr>
          <w:lang w:val="ru-RU"/>
        </w:rPr>
        <w:t xml:space="preserve">« </w:t>
      </w:r>
      <w:r w:rsidRPr="00E83A9E">
        <w:rPr>
          <w:lang w:val="uz-Cyrl-UZ"/>
        </w:rPr>
        <w:t xml:space="preserve">БМА </w:t>
      </w:r>
      <w:r w:rsidRPr="00DF774B">
        <w:rPr>
          <w:lang w:val="ru-RU"/>
        </w:rPr>
        <w:t xml:space="preserve">» </w:t>
      </w:r>
      <w:r w:rsidRPr="00E83A9E">
        <w:rPr>
          <w:lang w:val="uz-Cyrl-UZ"/>
        </w:rPr>
        <w:t>, 2005. – 124 с.</w:t>
      </w:r>
    </w:p>
  </w:footnote>
  <w:footnote w:id="27">
    <w:p w:rsidR="00CC01EC" w:rsidRPr="00E83A9E" w:rsidRDefault="00CC01EC" w:rsidP="0027090B">
      <w:pPr>
        <w:autoSpaceDE w:val="0"/>
        <w:autoSpaceDN w:val="0"/>
        <w:adjustRightInd w:val="0"/>
        <w:spacing w:after="0"/>
        <w:jc w:val="both"/>
        <w:rPr>
          <w:sz w:val="20"/>
          <w:szCs w:val="20"/>
        </w:rPr>
      </w:pPr>
      <w:r w:rsidRPr="00E83A9E">
        <w:rPr>
          <w:rStyle w:val="af0"/>
          <w:sz w:val="20"/>
          <w:szCs w:val="20"/>
        </w:rPr>
        <w:footnoteRef/>
      </w:r>
      <w:r w:rsidRPr="00E83A9E">
        <w:rPr>
          <w:sz w:val="20"/>
          <w:szCs w:val="20"/>
        </w:rPr>
        <w:t>ФАО, МФСР, ЮНИСЕФ, WPP и ВОЗ. 2022. Краткие обзоры. Положение дел в области продовольственной безопасности и питания в мире - 2022. Переориентация политики в области продовольствия и сельского хозяйства в интересах повышения экономической доступности здорового питания. Рим, ФАО. https://doi.org/10.4060/cc0640ru.</w:t>
      </w:r>
    </w:p>
  </w:footnote>
  <w:footnote w:id="28">
    <w:p w:rsidR="00CC01EC" w:rsidRPr="00E83A9E" w:rsidRDefault="00CC01EC" w:rsidP="00497258">
      <w:pPr>
        <w:pStyle w:val="ad"/>
        <w:jc w:val="both"/>
        <w:rPr>
          <w:lang w:val="uz-Cyrl-UZ"/>
        </w:rPr>
      </w:pPr>
      <w:r w:rsidRPr="00E83A9E">
        <w:rPr>
          <w:rStyle w:val="af0"/>
        </w:rPr>
        <w:footnoteRef/>
      </w:r>
      <w:r w:rsidRPr="00E83A9E">
        <w:t>Начался новый этап сельскохозяйственных реформ (uza.uz).</w:t>
      </w:r>
    </w:p>
  </w:footnote>
  <w:footnote w:id="29">
    <w:p w:rsidR="00CC01EC" w:rsidRPr="00E83A9E" w:rsidRDefault="00CC01EC" w:rsidP="00497258">
      <w:pPr>
        <w:pStyle w:val="ad"/>
        <w:jc w:val="both"/>
        <w:rPr>
          <w:lang w:val="uz-Cyrl-UZ"/>
        </w:rPr>
      </w:pPr>
      <w:r w:rsidRPr="00E83A9E">
        <w:rPr>
          <w:rStyle w:val="af0"/>
        </w:rPr>
        <w:footnoteRef/>
      </w:r>
      <w:r w:rsidRPr="00E83A9E">
        <w:rPr>
          <w:lang w:val="uz-Cyrl-UZ"/>
        </w:rPr>
        <w:t>Если сельское хозяйство не будет основано на научных принципах, развития в этой отрасли не будет (uza.uz).</w:t>
      </w:r>
    </w:p>
  </w:footnote>
  <w:footnote w:id="30">
    <w:p w:rsidR="00CC01EC" w:rsidRPr="00E46DF0" w:rsidRDefault="00CC01EC" w:rsidP="00497258">
      <w:pPr>
        <w:pStyle w:val="ad"/>
        <w:jc w:val="both"/>
        <w:rPr>
          <w:rStyle w:val="af"/>
          <w:color w:val="auto"/>
        </w:rPr>
      </w:pPr>
      <w:r w:rsidRPr="00E83A9E">
        <w:rPr>
          <w:rStyle w:val="af0"/>
        </w:rPr>
        <w:footnoteRef/>
      </w:r>
      <w:r w:rsidRPr="00E83A9E">
        <w:t xml:space="preserve"> </w:t>
      </w:r>
      <w:hyperlink r:id="rId13" w:history="1">
        <w:r w:rsidRPr="00E83A9E">
          <w:rPr>
            <w:rStyle w:val="af"/>
            <w:color w:val="auto"/>
          </w:rPr>
          <w:t xml:space="preserve">Евразийская экономическая комиссия (eaeunion.org) </w:t>
        </w:r>
      </w:hyperlink>
      <w:r w:rsidRPr="00E83A9E">
        <w:rPr>
          <w:rStyle w:val="af"/>
          <w:color w:val="auto"/>
        </w:rPr>
        <w:t xml:space="preserve">. </w:t>
      </w:r>
      <w:hyperlink r:id="rId14" w:history="1">
        <w:r w:rsidRPr="00E83A9E">
          <w:rPr>
            <w:rStyle w:val="af"/>
            <w:color w:val="auto"/>
          </w:rPr>
          <w:t>Инвестиции и капитал. Динамичное воеводство.</w:t>
        </w:r>
      </w:hyperlink>
      <w:hyperlink r:id="rId15" w:history="1">
        <w:r w:rsidRPr="00E46DF0">
          <w:rPr>
            <w:rStyle w:val="af"/>
            <w:color w:val="auto"/>
          </w:rPr>
          <w:t xml:space="preserve"> </w:t>
        </w:r>
      </w:hyperlink>
      <w:hyperlink r:id="rId16" w:history="1">
        <w:r w:rsidRPr="00E83A9E">
          <w:rPr>
            <w:rStyle w:val="af"/>
            <w:color w:val="auto"/>
          </w:rPr>
          <w:t xml:space="preserve">строк </w:t>
        </w:r>
      </w:hyperlink>
      <w:hyperlink r:id="rId17" w:history="1">
        <w:r w:rsidRPr="00E46DF0">
          <w:rPr>
            <w:rStyle w:val="af"/>
            <w:color w:val="auto"/>
          </w:rPr>
          <w:t xml:space="preserve">( </w:t>
        </w:r>
      </w:hyperlink>
      <w:hyperlink r:id="rId18" w:history="1">
        <w:r w:rsidRPr="00E83A9E">
          <w:rPr>
            <w:rStyle w:val="af"/>
            <w:color w:val="auto"/>
            <w:lang w:val="en-US"/>
          </w:rPr>
          <w:t>eaeunion</w:t>
        </w:r>
        <w:r w:rsidRPr="00DF774B">
          <w:rPr>
            <w:rStyle w:val="af"/>
            <w:color w:val="auto"/>
            <w:lang w:val="ru-RU"/>
          </w:rPr>
          <w:t>.</w:t>
        </w:r>
        <w:r w:rsidRPr="00E83A9E">
          <w:rPr>
            <w:rStyle w:val="af"/>
            <w:color w:val="auto"/>
            <w:lang w:val="en-US"/>
          </w:rPr>
          <w:t>org</w:t>
        </w:r>
        <w:r w:rsidRPr="00DF774B">
          <w:rPr>
            <w:rStyle w:val="af"/>
            <w:color w:val="auto"/>
            <w:lang w:val="ru-RU"/>
          </w:rPr>
          <w:t xml:space="preserve"> </w:t>
        </w:r>
      </w:hyperlink>
      <w:hyperlink r:id="rId19" w:history="1">
        <w:r w:rsidRPr="00DF774B">
          <w:rPr>
            <w:rStyle w:val="af"/>
            <w:color w:val="auto"/>
            <w:lang w:val="ru-RU"/>
          </w:rPr>
          <w:t xml:space="preserve">) </w:t>
        </w:r>
      </w:hyperlink>
      <w:r w:rsidRPr="00E46DF0">
        <w:rPr>
          <w:rStyle w:val="af"/>
          <w:color w:val="auto"/>
        </w:rPr>
        <w:t>.</w:t>
      </w:r>
      <w:hyperlink r:id="rId20" w:history="1">
        <w:r w:rsidRPr="00E46DF0">
          <w:rPr>
            <w:rStyle w:val="af"/>
            <w:color w:val="auto"/>
          </w:rPr>
          <w:t>​</w:t>
        </w:r>
      </w:hyperlink>
      <w:hyperlink r:id="rId21" w:history="1">
        <w:r w:rsidRPr="00E46DF0">
          <w:rPr>
            <w:rStyle w:val="af"/>
            <w:color w:val="auto"/>
          </w:rPr>
          <w:t>​</w:t>
        </w:r>
      </w:hyperlink>
    </w:p>
  </w:footnote>
  <w:footnote w:id="31">
    <w:p w:rsidR="00CC01EC" w:rsidRPr="00E46DF0" w:rsidRDefault="00CC01EC" w:rsidP="009249CD">
      <w:pPr>
        <w:pStyle w:val="ad"/>
        <w:jc w:val="both"/>
      </w:pPr>
      <w:r w:rsidRPr="00E83A9E">
        <w:rPr>
          <w:rStyle w:val="af0"/>
        </w:rPr>
        <w:footnoteRef/>
      </w:r>
      <w:r w:rsidRPr="00E46DF0">
        <w:t xml:space="preserve"> </w:t>
      </w:r>
      <w:r w:rsidRPr="00DF774B">
        <w:rPr>
          <w:lang w:val="ru-RU"/>
        </w:rPr>
        <w:t>Узбекистан</w:t>
      </w:r>
      <w:r w:rsidRPr="00E46DF0">
        <w:t xml:space="preserve"> </w:t>
      </w:r>
      <w:r w:rsidRPr="00DF774B">
        <w:rPr>
          <w:lang w:val="ru-RU"/>
        </w:rPr>
        <w:t>Республика</w:t>
      </w:r>
      <w:r w:rsidRPr="00E46DF0">
        <w:t xml:space="preserve"> </w:t>
      </w:r>
      <w:r w:rsidRPr="00DF774B">
        <w:rPr>
          <w:lang w:val="ru-RU"/>
        </w:rPr>
        <w:t>национальный</w:t>
      </w:r>
      <w:r w:rsidRPr="00E46DF0">
        <w:t xml:space="preserve"> </w:t>
      </w:r>
      <w:r w:rsidRPr="00DF774B">
        <w:rPr>
          <w:lang w:val="ru-RU"/>
        </w:rPr>
        <w:t>статистика</w:t>
      </w:r>
      <w:r w:rsidRPr="00E46DF0">
        <w:t xml:space="preserve"> </w:t>
      </w:r>
      <w:r w:rsidRPr="00DF774B">
        <w:rPr>
          <w:lang w:val="ru-RU"/>
        </w:rPr>
        <w:t>комитет</w:t>
      </w:r>
      <w:r w:rsidRPr="00E46DF0">
        <w:t xml:space="preserve"> </w:t>
      </w:r>
      <w:r w:rsidRPr="00DF774B">
        <w:rPr>
          <w:lang w:val="ru-RU"/>
        </w:rPr>
        <w:t>информация</w:t>
      </w:r>
      <w:r w:rsidRPr="00E46DF0">
        <w:t xml:space="preserve"> </w:t>
      </w:r>
      <w:r w:rsidRPr="00DF774B">
        <w:rPr>
          <w:lang w:val="ru-RU"/>
        </w:rPr>
        <w:t>на основе</w:t>
      </w:r>
      <w:r w:rsidRPr="00E46DF0">
        <w:t xml:space="preserve"> </w:t>
      </w:r>
      <w:r w:rsidRPr="00DF774B">
        <w:rPr>
          <w:lang w:val="ru-RU"/>
        </w:rPr>
        <w:t>автор</w:t>
      </w:r>
      <w:r w:rsidRPr="00E46DF0">
        <w:t xml:space="preserve"> </w:t>
      </w:r>
      <w:r w:rsidRPr="00DF774B">
        <w:rPr>
          <w:lang w:val="ru-RU"/>
        </w:rPr>
        <w:t>к</w:t>
      </w:r>
      <w:r w:rsidRPr="00E46DF0">
        <w:t xml:space="preserve"> </w:t>
      </w:r>
      <w:r w:rsidRPr="00DF774B">
        <w:rPr>
          <w:lang w:val="ru-RU"/>
        </w:rPr>
        <w:t xml:space="preserve">готовый </w:t>
      </w:r>
      <w:r w:rsidRPr="00E46DF0">
        <w:t>.</w:t>
      </w:r>
    </w:p>
  </w:footnote>
  <w:footnote w:id="32">
    <w:p w:rsidR="00CC01EC" w:rsidRPr="00E46DF0" w:rsidRDefault="00CC01EC" w:rsidP="009249CD">
      <w:pPr>
        <w:pStyle w:val="ad"/>
        <w:jc w:val="both"/>
      </w:pPr>
      <w:r w:rsidRPr="00E83A9E">
        <w:rPr>
          <w:rStyle w:val="af0"/>
        </w:rPr>
        <w:footnoteRef/>
      </w:r>
      <w:r w:rsidRPr="00E46DF0">
        <w:t xml:space="preserve"> </w:t>
      </w:r>
      <w:r w:rsidRPr="00E83A9E">
        <w:rPr>
          <w:lang w:val="en-US"/>
        </w:rPr>
        <w:t>https</w:t>
      </w:r>
      <w:r w:rsidRPr="00DF774B">
        <w:t>://</w:t>
      </w:r>
      <w:r w:rsidRPr="00E83A9E">
        <w:rPr>
          <w:lang w:val="en-US"/>
        </w:rPr>
        <w:t>stat</w:t>
      </w:r>
      <w:r w:rsidRPr="00DF774B">
        <w:t>.</w:t>
      </w:r>
      <w:r w:rsidRPr="00E83A9E">
        <w:rPr>
          <w:lang w:val="en-US"/>
        </w:rPr>
        <w:t>uz</w:t>
      </w:r>
      <w:r w:rsidRPr="00DF774B">
        <w:t>/</w:t>
      </w:r>
      <w:r w:rsidRPr="00E83A9E">
        <w:rPr>
          <w:lang w:val="en-US"/>
        </w:rPr>
        <w:t>img</w:t>
      </w:r>
      <w:r w:rsidRPr="00DF774B">
        <w:t xml:space="preserve">/01_- </w:t>
      </w:r>
      <w:r w:rsidRPr="00E83A9E">
        <w:rPr>
          <w:lang w:val="en-US"/>
        </w:rPr>
        <w:t>vvp</w:t>
      </w:r>
      <w:r w:rsidRPr="00DF774B">
        <w:t>_</w:t>
      </w:r>
      <w:r w:rsidRPr="00E83A9E">
        <w:rPr>
          <w:lang w:val="en-US"/>
        </w:rPr>
        <w:t>press</w:t>
      </w:r>
      <w:r w:rsidRPr="00DF774B">
        <w:t xml:space="preserve"> - </w:t>
      </w:r>
      <w:r w:rsidRPr="00E46DF0">
        <w:t>релиз - 2024_uzb_p61471.pdf</w:t>
      </w:r>
    </w:p>
  </w:footnote>
  <w:footnote w:id="33">
    <w:p w:rsidR="00CC01EC" w:rsidRPr="00DF774B" w:rsidRDefault="00CC01EC" w:rsidP="009249CD">
      <w:pPr>
        <w:pStyle w:val="ad"/>
        <w:jc w:val="both"/>
        <w:rPr>
          <w:lang w:val="ru-RU"/>
        </w:rPr>
      </w:pPr>
      <w:r w:rsidRPr="00E83A9E">
        <w:rPr>
          <w:rStyle w:val="af0"/>
        </w:rPr>
        <w:footnoteRef/>
      </w:r>
      <w:r w:rsidRPr="00DF774B">
        <w:rPr>
          <w:lang w:val="ru-RU"/>
        </w:rPr>
        <w:t>Подготовлено автором на основе данных Национального статистического комитета Республики Узбекистан.</w:t>
      </w:r>
    </w:p>
  </w:footnote>
  <w:footnote w:id="34">
    <w:p w:rsidR="00CC01EC" w:rsidRPr="00DF774B" w:rsidRDefault="00CC01EC" w:rsidP="004F53DB">
      <w:pPr>
        <w:pStyle w:val="ad"/>
        <w:jc w:val="both"/>
        <w:rPr>
          <w:lang w:val="ru-RU"/>
        </w:rPr>
      </w:pPr>
      <w:r w:rsidRPr="00E83A9E">
        <w:rPr>
          <w:rStyle w:val="af0"/>
        </w:rPr>
        <w:footnoteRef/>
      </w:r>
      <w:r w:rsidRPr="00E83A9E">
        <w:rPr>
          <w:lang w:val="en-US"/>
        </w:rPr>
        <w:t>CGAP</w:t>
      </w:r>
      <w:r w:rsidRPr="00DF774B">
        <w:rPr>
          <w:lang w:val="ru-RU"/>
        </w:rPr>
        <w:t xml:space="preserve"> (2023). «Глобальные тенденции в сельскохозяйственном микрофинансировании». Вашингтон, округ Колумбия.</w:t>
      </w:r>
    </w:p>
  </w:footnote>
  <w:footnote w:id="35">
    <w:p w:rsidR="00CC01EC" w:rsidRPr="00E83A9E" w:rsidRDefault="00CC01EC" w:rsidP="004F53DB">
      <w:pPr>
        <w:pStyle w:val="ad"/>
        <w:jc w:val="both"/>
      </w:pPr>
      <w:r w:rsidRPr="00E83A9E">
        <w:rPr>
          <w:rStyle w:val="af0"/>
        </w:rPr>
        <w:footnoteRef/>
      </w:r>
      <w:r w:rsidRPr="00DF774B">
        <w:rPr>
          <w:lang w:val="ru-RU"/>
        </w:rPr>
        <w:t>Министерство сельского хозяйства США (</w:t>
      </w:r>
      <w:r w:rsidRPr="00E83A9E">
        <w:rPr>
          <w:lang w:val="en-US"/>
        </w:rPr>
        <w:t>USDA</w:t>
      </w:r>
      <w:r w:rsidRPr="00DF774B">
        <w:rPr>
          <w:lang w:val="ru-RU"/>
        </w:rPr>
        <w:t xml:space="preserve">). (2023). «Отчет о цифровом сельском хозяйстве и сельскохозяйственных технологиях». </w:t>
      </w:r>
      <w:hyperlink r:id="rId22" w:history="1">
        <w:r w:rsidRPr="00E83A9E">
          <w:rPr>
            <w:rStyle w:val="af"/>
          </w:rPr>
          <w:t>https://www.usda.gov/topics/farming/precision-agriculture-and-digital-agriculture</w:t>
        </w:r>
      </w:hyperlink>
    </w:p>
  </w:footnote>
  <w:footnote w:id="36">
    <w:p w:rsidR="00CC01EC" w:rsidRPr="00DF774B" w:rsidRDefault="00CC01EC" w:rsidP="004F53DB">
      <w:pPr>
        <w:pStyle w:val="ad"/>
        <w:jc w:val="both"/>
        <w:rPr>
          <w:lang w:val="ru-RU"/>
        </w:rPr>
      </w:pPr>
      <w:r w:rsidRPr="00E83A9E">
        <w:rPr>
          <w:rStyle w:val="af0"/>
        </w:rPr>
        <w:footnoteRef/>
      </w:r>
      <w:r w:rsidRPr="00E83A9E">
        <w:rPr>
          <w:lang w:val="en-US"/>
        </w:rPr>
        <w:t xml:space="preserve">Climate Corporation. (2024). «Отчет о влиянии платформы Climate FieldView». </w:t>
      </w:r>
      <w:hyperlink r:id="rId23" w:history="1">
        <w:r w:rsidRPr="00E83A9E">
          <w:rPr>
            <w:rStyle w:val="af"/>
            <w:lang w:val="en-US"/>
          </w:rPr>
          <w:t>https</w:t>
        </w:r>
        <w:r w:rsidRPr="00DF774B">
          <w:rPr>
            <w:rStyle w:val="af"/>
            <w:lang w:val="ru-RU"/>
          </w:rPr>
          <w:t>://</w:t>
        </w:r>
        <w:r w:rsidRPr="00E83A9E">
          <w:rPr>
            <w:rStyle w:val="af"/>
            <w:lang w:val="en-US"/>
          </w:rPr>
          <w:t>www</w:t>
        </w:r>
        <w:r w:rsidRPr="00DF774B">
          <w:rPr>
            <w:rStyle w:val="af"/>
            <w:lang w:val="ru-RU"/>
          </w:rPr>
          <w:t>.</w:t>
        </w:r>
        <w:r w:rsidRPr="00E83A9E">
          <w:rPr>
            <w:rStyle w:val="af"/>
            <w:lang w:val="en-US"/>
          </w:rPr>
          <w:t>climate</w:t>
        </w:r>
        <w:r w:rsidRPr="00DF774B">
          <w:rPr>
            <w:rStyle w:val="af"/>
            <w:lang w:val="ru-RU"/>
          </w:rPr>
          <w:t>.</w:t>
        </w:r>
        <w:r w:rsidRPr="00E83A9E">
          <w:rPr>
            <w:rStyle w:val="af"/>
            <w:lang w:val="en-US"/>
          </w:rPr>
          <w:t>com</w:t>
        </w:r>
        <w:r w:rsidRPr="00DF774B">
          <w:rPr>
            <w:rStyle w:val="af"/>
            <w:lang w:val="ru-RU"/>
          </w:rPr>
          <w:t>/</w:t>
        </w:r>
        <w:r w:rsidRPr="00E83A9E">
          <w:rPr>
            <w:rStyle w:val="af"/>
            <w:lang w:val="en-US"/>
          </w:rPr>
          <w:t>fieldview</w:t>
        </w:r>
      </w:hyperlink>
    </w:p>
  </w:footnote>
  <w:footnote w:id="37">
    <w:p w:rsidR="00CC01EC" w:rsidRPr="00E83A9E" w:rsidRDefault="00CC01EC" w:rsidP="004F53DB">
      <w:pPr>
        <w:pStyle w:val="ad"/>
        <w:jc w:val="both"/>
      </w:pPr>
      <w:r w:rsidRPr="00E83A9E">
        <w:rPr>
          <w:rStyle w:val="af0"/>
        </w:rPr>
        <w:footnoteRef/>
      </w:r>
      <w:hyperlink r:id="rId24" w:history="1">
        <w:r w:rsidRPr="00E83A9E">
          <w:rPr>
            <w:rStyle w:val="af"/>
          </w:rPr>
          <w:t xml:space="preserve">McKinsey </w:t>
        </w:r>
      </w:hyperlink>
      <w:hyperlink r:id="rId25" w:history="1">
        <w:r w:rsidRPr="00E83A9E">
          <w:rPr>
            <w:rStyle w:val="af"/>
          </w:rPr>
          <w:t xml:space="preserve">&amp; </w:t>
        </w:r>
      </w:hyperlink>
      <w:hyperlink r:id="rId26" w:history="1">
        <w:r w:rsidRPr="00E83A9E">
          <w:rPr>
            <w:rStyle w:val="af"/>
          </w:rPr>
          <w:t xml:space="preserve">Company </w:t>
        </w:r>
      </w:hyperlink>
      <w:hyperlink r:id="rId27" w:history="1">
        <w:r w:rsidRPr="00E83A9E">
          <w:rPr>
            <w:rStyle w:val="af"/>
          </w:rPr>
          <w:t xml:space="preserve">. </w:t>
        </w:r>
      </w:hyperlink>
      <w:hyperlink r:id="rId28" w:history="1">
        <w:r w:rsidRPr="00DF774B">
          <w:rPr>
            <w:rStyle w:val="af"/>
            <w:lang w:val="ru-RU"/>
          </w:rPr>
          <w:t xml:space="preserve">( </w:t>
        </w:r>
      </w:hyperlink>
      <w:hyperlink r:id="rId29" w:history="1">
        <w:r w:rsidRPr="00DF774B">
          <w:rPr>
            <w:rStyle w:val="af"/>
            <w:lang w:val="ru-RU"/>
          </w:rPr>
          <w:t xml:space="preserve">2022 </w:t>
        </w:r>
      </w:hyperlink>
      <w:hyperlink r:id="rId30" w:history="1">
        <w:r w:rsidRPr="00E83A9E">
          <w:rPr>
            <w:rStyle w:val="af"/>
          </w:rPr>
          <w:t xml:space="preserve">) </w:t>
        </w:r>
      </w:hyperlink>
      <w:hyperlink r:id="rId31" w:history="1">
        <w:r w:rsidRPr="00DF774B">
          <w:rPr>
            <w:rStyle w:val="af"/>
            <w:lang w:val="ru-RU"/>
          </w:rPr>
          <w:t xml:space="preserve">. </w:t>
        </w:r>
      </w:hyperlink>
      <w:hyperlink r:id="rId32" w:history="1">
        <w:r w:rsidRPr="00E83A9E">
          <w:rPr>
            <w:rStyle w:val="af"/>
          </w:rPr>
          <w:t xml:space="preserve">« </w:t>
        </w:r>
      </w:hyperlink>
      <w:r w:rsidRPr="00DF774B">
        <w:rPr>
          <w:lang w:val="ru-RU"/>
        </w:rPr>
        <w:t xml:space="preserve">Взаимосвязанное </w:t>
      </w:r>
      <w:hyperlink r:id="rId33" w:history="1">
        <w:r w:rsidRPr="00DF774B">
          <w:rPr>
            <w:rStyle w:val="af"/>
            <w:lang w:val="ru-RU"/>
          </w:rPr>
          <w:t xml:space="preserve">будущее </w:t>
        </w:r>
      </w:hyperlink>
      <w:hyperlink r:id="rId34" w:history="1">
        <w:r w:rsidRPr="00E83A9E">
          <w:rPr>
            <w:rStyle w:val="af"/>
          </w:rPr>
          <w:t xml:space="preserve">сельского </w:t>
        </w:r>
      </w:hyperlink>
      <w:hyperlink r:id="rId35" w:history="1">
        <w:r w:rsidRPr="00DF774B">
          <w:rPr>
            <w:rStyle w:val="af"/>
            <w:lang w:val="ru-RU"/>
          </w:rPr>
          <w:t xml:space="preserve">хозяйства </w:t>
        </w:r>
      </w:hyperlink>
      <w:hyperlink r:id="rId36" w:history="1">
        <w:r w:rsidRPr="00DF774B">
          <w:rPr>
            <w:rStyle w:val="af"/>
            <w:lang w:val="ru-RU"/>
          </w:rPr>
          <w:t xml:space="preserve">: </w:t>
        </w:r>
      </w:hyperlink>
      <w:hyperlink r:id="rId37" w:history="1">
        <w:r w:rsidRPr="00E83A9E">
          <w:rPr>
            <w:rStyle w:val="af"/>
          </w:rPr>
          <w:t xml:space="preserve">как </w:t>
        </w:r>
      </w:hyperlink>
      <w:hyperlink r:id="rId38" w:history="1">
        <w:r w:rsidRPr="00DF774B">
          <w:rPr>
            <w:rStyle w:val="af"/>
            <w:lang w:val="ru-RU"/>
          </w:rPr>
          <w:t xml:space="preserve">технологии </w:t>
        </w:r>
      </w:hyperlink>
      <w:hyperlink r:id="rId39" w:history="1">
        <w:r w:rsidRPr="00E83A9E">
          <w:rPr>
            <w:rStyle w:val="af"/>
          </w:rPr>
          <w:t xml:space="preserve">могут </w:t>
        </w:r>
      </w:hyperlink>
      <w:hyperlink r:id="rId40" w:history="1">
        <w:r w:rsidRPr="00E83A9E">
          <w:rPr>
            <w:rStyle w:val="af"/>
          </w:rPr>
          <w:t xml:space="preserve">обеспечить </w:t>
        </w:r>
      </w:hyperlink>
      <w:hyperlink r:id="rId41" w:history="1">
        <w:r w:rsidRPr="00E83A9E">
          <w:rPr>
            <w:rStyle w:val="af"/>
          </w:rPr>
          <w:t xml:space="preserve">новый </w:t>
        </w:r>
      </w:hyperlink>
      <w:hyperlink r:id="rId42" w:history="1">
        <w:r w:rsidRPr="00DF774B">
          <w:rPr>
            <w:rStyle w:val="af"/>
            <w:lang w:val="ru-RU"/>
          </w:rPr>
          <w:t xml:space="preserve">рост </w:t>
        </w:r>
      </w:hyperlink>
      <w:hyperlink r:id="rId43" w:history="1">
        <w:r w:rsidRPr="00E83A9E">
          <w:rPr>
            <w:rStyle w:val="af"/>
          </w:rPr>
          <w:t xml:space="preserve">» </w:t>
        </w:r>
      </w:hyperlink>
      <w:hyperlink r:id="rId44" w:history="1">
        <w:r w:rsidRPr="00E83A9E">
          <w:rPr>
            <w:rStyle w:val="af"/>
          </w:rPr>
          <w:t xml:space="preserve">. </w:t>
        </w:r>
      </w:hyperlink>
      <w:hyperlink r:id="rId45" w:history="1">
        <w:r w:rsidRPr="00E83A9E">
          <w:rPr>
            <w:rStyle w:val="af"/>
            <w:lang w:val="en-US"/>
          </w:rPr>
          <w:t>https</w:t>
        </w:r>
        <w:r w:rsidRPr="00DF774B">
          <w:rPr>
            <w:rStyle w:val="af"/>
            <w:lang w:val="ru-RU"/>
          </w:rPr>
          <w:t>://</w:t>
        </w:r>
        <w:r w:rsidRPr="00E83A9E">
          <w:rPr>
            <w:rStyle w:val="af"/>
            <w:lang w:val="en-US"/>
          </w:rPr>
          <w:t>www</w:t>
        </w:r>
        <w:r w:rsidRPr="00DF774B">
          <w:rPr>
            <w:rStyle w:val="af"/>
            <w:lang w:val="ru-RU"/>
          </w:rPr>
          <w:t>.</w:t>
        </w:r>
        <w:r w:rsidRPr="00E83A9E">
          <w:rPr>
            <w:rStyle w:val="af"/>
            <w:lang w:val="en-US"/>
          </w:rPr>
          <w:t>mckinsey</w:t>
        </w:r>
        <w:r w:rsidRPr="00DF774B">
          <w:rPr>
            <w:rStyle w:val="af"/>
            <w:lang w:val="ru-RU"/>
          </w:rPr>
          <w:t>.</w:t>
        </w:r>
        <w:r w:rsidRPr="00E83A9E">
          <w:rPr>
            <w:rStyle w:val="af"/>
            <w:lang w:val="en-US"/>
          </w:rPr>
          <w:t>com</w:t>
        </w:r>
        <w:r w:rsidRPr="00DF774B">
          <w:rPr>
            <w:rStyle w:val="af"/>
            <w:lang w:val="ru-RU"/>
          </w:rPr>
          <w:t>/</w:t>
        </w:r>
        <w:r w:rsidRPr="00E83A9E">
          <w:rPr>
            <w:rStyle w:val="af"/>
            <w:lang w:val="en-US"/>
          </w:rPr>
          <w:t>industries</w:t>
        </w:r>
        <w:r w:rsidRPr="00DF774B">
          <w:rPr>
            <w:rStyle w:val="af"/>
            <w:lang w:val="ru-RU"/>
          </w:rPr>
          <w:t>/</w:t>
        </w:r>
        <w:r w:rsidRPr="00E83A9E">
          <w:rPr>
            <w:rStyle w:val="af"/>
            <w:lang w:val="en-US"/>
          </w:rPr>
          <w:t>agriculture</w:t>
        </w:r>
        <w:r w:rsidRPr="00DF774B">
          <w:rPr>
            <w:rStyle w:val="af"/>
            <w:lang w:val="ru-RU"/>
          </w:rPr>
          <w:t>/</w:t>
        </w:r>
        <w:r w:rsidRPr="00E83A9E">
          <w:rPr>
            <w:rStyle w:val="af"/>
            <w:lang w:val="en-US"/>
          </w:rPr>
          <w:t>our</w:t>
        </w:r>
        <w:r w:rsidRPr="00DF774B">
          <w:rPr>
            <w:rStyle w:val="af"/>
            <w:lang w:val="ru-RU"/>
          </w:rPr>
          <w:t>-</w:t>
        </w:r>
        <w:r w:rsidRPr="00E83A9E">
          <w:rPr>
            <w:rStyle w:val="af"/>
            <w:lang w:val="en-US"/>
          </w:rPr>
          <w:t>insights</w:t>
        </w:r>
        <w:r w:rsidRPr="00DF774B">
          <w:rPr>
            <w:rStyle w:val="af"/>
            <w:lang w:val="ru-RU"/>
          </w:rPr>
          <w:t>/</w:t>
        </w:r>
        <w:r w:rsidRPr="00E83A9E">
          <w:rPr>
            <w:rStyle w:val="af"/>
            <w:lang w:val="en-US"/>
          </w:rPr>
          <w:t>agricultures</w:t>
        </w:r>
        <w:r w:rsidRPr="00DF774B">
          <w:rPr>
            <w:rStyle w:val="af"/>
            <w:lang w:val="ru-RU"/>
          </w:rPr>
          <w:t>-</w:t>
        </w:r>
        <w:r w:rsidRPr="00E83A9E">
          <w:rPr>
            <w:rStyle w:val="af"/>
            <w:lang w:val="en-US"/>
          </w:rPr>
          <w:t>connected</w:t>
        </w:r>
        <w:r w:rsidRPr="00DF774B">
          <w:rPr>
            <w:rStyle w:val="af"/>
            <w:lang w:val="ru-RU"/>
          </w:rPr>
          <w:t>-</w:t>
        </w:r>
        <w:r w:rsidRPr="00E83A9E">
          <w:rPr>
            <w:rStyle w:val="af"/>
            <w:lang w:val="en-US"/>
          </w:rPr>
          <w:t>future</w:t>
        </w:r>
        <w:r w:rsidRPr="00DF774B">
          <w:rPr>
            <w:rStyle w:val="af"/>
            <w:lang w:val="ru-RU"/>
          </w:rPr>
          <w:t>-</w:t>
        </w:r>
        <w:r w:rsidRPr="00E83A9E">
          <w:rPr>
            <w:rStyle w:val="af"/>
            <w:lang w:val="en-US"/>
          </w:rPr>
          <w:t>how</w:t>
        </w:r>
        <w:r w:rsidRPr="00DF774B">
          <w:rPr>
            <w:rStyle w:val="af"/>
            <w:lang w:val="ru-RU"/>
          </w:rPr>
          <w:t>-</w:t>
        </w:r>
        <w:r w:rsidRPr="00E83A9E">
          <w:rPr>
            <w:rStyle w:val="af"/>
            <w:lang w:val="en-US"/>
          </w:rPr>
          <w:t>technology</w:t>
        </w:r>
        <w:r w:rsidRPr="00DF774B">
          <w:rPr>
            <w:rStyle w:val="af"/>
            <w:lang w:val="ru-RU"/>
          </w:rPr>
          <w:t>-</w:t>
        </w:r>
        <w:r w:rsidRPr="00E83A9E">
          <w:rPr>
            <w:rStyle w:val="af"/>
            <w:lang w:val="en-US"/>
          </w:rPr>
          <w:t>can</w:t>
        </w:r>
        <w:r w:rsidRPr="00DF774B">
          <w:rPr>
            <w:rStyle w:val="af"/>
            <w:lang w:val="ru-RU"/>
          </w:rPr>
          <w:t>-</w:t>
        </w:r>
        <w:r w:rsidRPr="00E83A9E">
          <w:rPr>
            <w:rStyle w:val="af"/>
            <w:lang w:val="en-US"/>
          </w:rPr>
          <w:t>yield</w:t>
        </w:r>
        <w:r w:rsidRPr="00DF774B">
          <w:rPr>
            <w:rStyle w:val="af"/>
            <w:lang w:val="ru-RU"/>
          </w:rPr>
          <w:t>-</w:t>
        </w:r>
        <w:r w:rsidRPr="00E83A9E">
          <w:rPr>
            <w:rStyle w:val="af"/>
            <w:lang w:val="en-US"/>
          </w:rPr>
          <w:t>new</w:t>
        </w:r>
        <w:r w:rsidRPr="00DF774B">
          <w:rPr>
            <w:rStyle w:val="af"/>
            <w:lang w:val="ru-RU"/>
          </w:rPr>
          <w:t>-</w:t>
        </w:r>
        <w:r w:rsidRPr="00E83A9E">
          <w:rPr>
            <w:rStyle w:val="af"/>
            <w:lang w:val="en-US"/>
          </w:rPr>
          <w:t>growth</w:t>
        </w:r>
      </w:hyperlink>
      <w:hyperlink r:id="rId46" w:history="1">
        <w:r w:rsidRPr="00E83A9E">
          <w:rPr>
            <w:rStyle w:val="af"/>
          </w:rPr>
          <w:t>​</w:t>
        </w:r>
      </w:hyperlink>
      <w:hyperlink r:id="rId47" w:history="1">
        <w:r w:rsidRPr="00DF774B">
          <w:rPr>
            <w:rStyle w:val="af"/>
            <w:lang w:val="ru-RU"/>
          </w:rPr>
          <w:t>​</w:t>
        </w:r>
      </w:hyperlink>
      <w:hyperlink r:id="rId48" w:history="1">
        <w:r w:rsidRPr="00DF774B">
          <w:rPr>
            <w:rStyle w:val="af"/>
            <w:lang w:val="ru-RU"/>
          </w:rPr>
          <w:t>​</w:t>
        </w:r>
      </w:hyperlink>
      <w:hyperlink r:id="rId49" w:history="1">
        <w:r w:rsidRPr="00DF774B">
          <w:rPr>
            <w:rStyle w:val="af"/>
            <w:lang w:val="ru-RU"/>
          </w:rPr>
          <w:t>​</w:t>
        </w:r>
      </w:hyperlink>
      <w:hyperlink r:id="rId50" w:history="1">
        <w:r w:rsidRPr="00DF774B">
          <w:rPr>
            <w:rStyle w:val="af"/>
            <w:lang w:val="ru-RU"/>
          </w:rPr>
          <w:t>​</w:t>
        </w:r>
      </w:hyperlink>
      <w:hyperlink r:id="rId51" w:history="1">
        <w:r w:rsidRPr="00DF774B">
          <w:rPr>
            <w:rStyle w:val="af"/>
            <w:lang w:val="ru-RU"/>
          </w:rPr>
          <w:t>​</w:t>
        </w:r>
      </w:hyperlink>
      <w:hyperlink r:id="rId52" w:history="1">
        <w:r w:rsidRPr="00DF774B">
          <w:rPr>
            <w:rStyle w:val="af"/>
            <w:lang w:val="ru-RU"/>
          </w:rPr>
          <w:t>​</w:t>
        </w:r>
      </w:hyperlink>
      <w:hyperlink r:id="rId53" w:history="1">
        <w:r w:rsidRPr="00E83A9E">
          <w:rPr>
            <w:rStyle w:val="af"/>
          </w:rPr>
          <w:t>​</w:t>
        </w:r>
      </w:hyperlink>
      <w:hyperlink r:id="rId54" w:history="1">
        <w:r w:rsidRPr="00DF774B">
          <w:rPr>
            <w:rStyle w:val="af"/>
            <w:lang w:val="ru-RU"/>
          </w:rPr>
          <w:t>​</w:t>
        </w:r>
      </w:hyperlink>
      <w:hyperlink r:id="rId55" w:history="1">
        <w:r w:rsidRPr="00E83A9E">
          <w:rPr>
            <w:rStyle w:val="af"/>
          </w:rPr>
          <w:t>​</w:t>
        </w:r>
      </w:hyperlink>
      <w:r w:rsidRPr="00E83A9E">
        <w:t xml:space="preserve"> </w:t>
      </w:r>
    </w:p>
  </w:footnote>
  <w:footnote w:id="38">
    <w:p w:rsidR="00CC01EC" w:rsidRPr="00DF774B" w:rsidRDefault="00CC01EC" w:rsidP="004F53DB">
      <w:pPr>
        <w:pStyle w:val="ad"/>
        <w:jc w:val="both"/>
        <w:rPr>
          <w:lang w:val="ru-RU"/>
        </w:rPr>
      </w:pPr>
      <w:r w:rsidRPr="00E83A9E">
        <w:rPr>
          <w:rStyle w:val="af0"/>
        </w:rPr>
        <w:footnoteRef/>
      </w:r>
      <w:r w:rsidRPr="00DF774B">
        <w:rPr>
          <w:lang w:val="ru-RU"/>
        </w:rPr>
        <w:t>Подготовлено автором.</w:t>
      </w:r>
    </w:p>
  </w:footnote>
  <w:footnote w:id="39">
    <w:p w:rsidR="00CC01EC" w:rsidRPr="00DF774B" w:rsidRDefault="00CC01EC" w:rsidP="004F53DB">
      <w:pPr>
        <w:pStyle w:val="ad"/>
        <w:jc w:val="both"/>
        <w:rPr>
          <w:lang w:val="ru-RU"/>
        </w:rPr>
      </w:pPr>
      <w:r w:rsidRPr="00E83A9E">
        <w:rPr>
          <w:rStyle w:val="af0"/>
        </w:rPr>
        <w:footnoteRef/>
      </w:r>
      <w:r w:rsidRPr="00E83A9E">
        <w:rPr>
          <w:lang w:val="en-US"/>
        </w:rPr>
        <w:t>John</w:t>
      </w:r>
      <w:r w:rsidRPr="00DF774B">
        <w:rPr>
          <w:lang w:val="ru-RU"/>
        </w:rPr>
        <w:t xml:space="preserve"> </w:t>
      </w:r>
      <w:r w:rsidRPr="00E83A9E">
        <w:rPr>
          <w:lang w:val="en-US"/>
        </w:rPr>
        <w:t>Deere</w:t>
      </w:r>
      <w:r w:rsidRPr="00DF774B">
        <w:rPr>
          <w:lang w:val="ru-RU"/>
        </w:rPr>
        <w:t xml:space="preserve">. (2023). Отчет о влиянии точного земледелия. </w:t>
      </w:r>
      <w:hyperlink r:id="rId56" w:history="1">
        <w:r w:rsidRPr="00E83A9E">
          <w:rPr>
            <w:rStyle w:val="af"/>
            <w:lang w:val="en-US"/>
          </w:rPr>
          <w:t>https</w:t>
        </w:r>
        <w:r w:rsidRPr="00DF774B">
          <w:rPr>
            <w:rStyle w:val="af"/>
            <w:lang w:val="ru-RU"/>
          </w:rPr>
          <w:t>://</w:t>
        </w:r>
        <w:r w:rsidRPr="00E83A9E">
          <w:rPr>
            <w:rStyle w:val="af"/>
            <w:lang w:val="en-US"/>
          </w:rPr>
          <w:t>www</w:t>
        </w:r>
        <w:r w:rsidRPr="00DF774B">
          <w:rPr>
            <w:rStyle w:val="af"/>
            <w:lang w:val="ru-RU"/>
          </w:rPr>
          <w:t>.</w:t>
        </w:r>
        <w:r w:rsidRPr="00E83A9E">
          <w:rPr>
            <w:rStyle w:val="af"/>
            <w:lang w:val="en-US"/>
          </w:rPr>
          <w:t>deere</w:t>
        </w:r>
        <w:r w:rsidRPr="00DF774B">
          <w:rPr>
            <w:rStyle w:val="af"/>
            <w:lang w:val="ru-RU"/>
          </w:rPr>
          <w:t>.</w:t>
        </w:r>
        <w:r w:rsidRPr="00E83A9E">
          <w:rPr>
            <w:rStyle w:val="af"/>
            <w:lang w:val="en-US"/>
          </w:rPr>
          <w:t>com</w:t>
        </w:r>
        <w:r w:rsidRPr="00DF774B">
          <w:rPr>
            <w:rStyle w:val="af"/>
            <w:lang w:val="ru-RU"/>
          </w:rPr>
          <w:t>/</w:t>
        </w:r>
        <w:r w:rsidRPr="00E83A9E">
          <w:rPr>
            <w:rStyle w:val="af"/>
            <w:lang w:val="en-US"/>
          </w:rPr>
          <w:t>en</w:t>
        </w:r>
        <w:r w:rsidRPr="00DF774B">
          <w:rPr>
            <w:rStyle w:val="af"/>
            <w:lang w:val="ru-RU"/>
          </w:rPr>
          <w:t>/</w:t>
        </w:r>
        <w:r w:rsidRPr="00E83A9E">
          <w:rPr>
            <w:rStyle w:val="af"/>
            <w:lang w:val="en-US"/>
          </w:rPr>
          <w:t>precision</w:t>
        </w:r>
        <w:r w:rsidRPr="00DF774B">
          <w:rPr>
            <w:rStyle w:val="af"/>
            <w:lang w:val="ru-RU"/>
          </w:rPr>
          <w:t>-</w:t>
        </w:r>
        <w:r w:rsidRPr="00E83A9E">
          <w:rPr>
            <w:rStyle w:val="af"/>
            <w:lang w:val="en-US"/>
          </w:rPr>
          <w:t>agriculture</w:t>
        </w:r>
        <w:r w:rsidRPr="00DF774B">
          <w:rPr>
            <w:rStyle w:val="af"/>
            <w:lang w:val="ru-RU"/>
          </w:rPr>
          <w:t>/</w:t>
        </w:r>
      </w:hyperlink>
    </w:p>
  </w:footnote>
  <w:footnote w:id="40">
    <w:p w:rsidR="00CC01EC" w:rsidRPr="00DF774B" w:rsidRDefault="00CC01EC" w:rsidP="004F53DB">
      <w:pPr>
        <w:pStyle w:val="ad"/>
        <w:jc w:val="both"/>
        <w:rPr>
          <w:lang w:val="ru-RU"/>
        </w:rPr>
      </w:pPr>
      <w:r w:rsidRPr="00E83A9E">
        <w:rPr>
          <w:rStyle w:val="af0"/>
        </w:rPr>
        <w:footnoteRef/>
      </w:r>
      <w:r w:rsidRPr="00DF774B">
        <w:rPr>
          <w:lang w:val="ru-RU"/>
        </w:rPr>
        <w:t xml:space="preserve">Сеть фермерского бизнеса. (2023). «Тенденции внедрения цифровых технологий в сельском хозяйстве в США». </w:t>
      </w:r>
      <w:hyperlink r:id="rId57" w:history="1">
        <w:r w:rsidRPr="00E83A9E">
          <w:rPr>
            <w:rStyle w:val="af"/>
            <w:lang w:val="en-US"/>
          </w:rPr>
          <w:t>https</w:t>
        </w:r>
        <w:r w:rsidRPr="00DF774B">
          <w:rPr>
            <w:rStyle w:val="af"/>
            <w:lang w:val="ru-RU"/>
          </w:rPr>
          <w:t>://</w:t>
        </w:r>
        <w:r w:rsidRPr="00E83A9E">
          <w:rPr>
            <w:rStyle w:val="af"/>
            <w:lang w:val="en-US"/>
          </w:rPr>
          <w:t>www</w:t>
        </w:r>
        <w:r w:rsidRPr="00DF774B">
          <w:rPr>
            <w:rStyle w:val="af"/>
            <w:lang w:val="ru-RU"/>
          </w:rPr>
          <w:t>.</w:t>
        </w:r>
        <w:r w:rsidRPr="00E83A9E">
          <w:rPr>
            <w:rStyle w:val="af"/>
            <w:lang w:val="en-US"/>
          </w:rPr>
          <w:t>fbn</w:t>
        </w:r>
        <w:r w:rsidRPr="00DF774B">
          <w:rPr>
            <w:rStyle w:val="af"/>
            <w:lang w:val="ru-RU"/>
          </w:rPr>
          <w:t>.</w:t>
        </w:r>
        <w:r w:rsidRPr="00E83A9E">
          <w:rPr>
            <w:rStyle w:val="af"/>
            <w:lang w:val="en-US"/>
          </w:rPr>
          <w:t>com</w:t>
        </w:r>
        <w:r w:rsidRPr="00DF774B">
          <w:rPr>
            <w:rStyle w:val="af"/>
            <w:lang w:val="ru-RU"/>
          </w:rPr>
          <w:t>/</w:t>
        </w:r>
        <w:r w:rsidRPr="00E83A9E">
          <w:rPr>
            <w:rStyle w:val="af"/>
            <w:lang w:val="en-US"/>
          </w:rPr>
          <w:t>analytics</w:t>
        </w:r>
        <w:r w:rsidRPr="00DF774B">
          <w:rPr>
            <w:rStyle w:val="af"/>
            <w:lang w:val="ru-RU"/>
          </w:rPr>
          <w:t>/</w:t>
        </w:r>
        <w:r w:rsidRPr="00E83A9E">
          <w:rPr>
            <w:rStyle w:val="af"/>
            <w:lang w:val="en-US"/>
          </w:rPr>
          <w:t>reports</w:t>
        </w:r>
      </w:hyperlink>
    </w:p>
  </w:footnote>
  <w:footnote w:id="41">
    <w:p w:rsidR="00CC01EC" w:rsidRPr="00E83A9E" w:rsidRDefault="00CC01EC" w:rsidP="004F53DB">
      <w:pPr>
        <w:pStyle w:val="ad"/>
        <w:jc w:val="both"/>
      </w:pPr>
      <w:r w:rsidRPr="00E83A9E">
        <w:rPr>
          <w:rStyle w:val="af0"/>
        </w:rPr>
        <w:footnoteRef/>
      </w:r>
      <w:r w:rsidRPr="00DF774B">
        <w:rPr>
          <w:lang w:val="ru-RU"/>
        </w:rPr>
        <w:t xml:space="preserve">Европейская комиссия. (2023). «Программа «Цифровая Европа» и общая сельскохозяйственная политика». </w:t>
      </w:r>
      <w:hyperlink r:id="rId58" w:history="1">
        <w:r w:rsidRPr="00E83A9E">
          <w:rPr>
            <w:rStyle w:val="af"/>
          </w:rPr>
          <w:t>https://digital-strategy.ec.europa.eu/en/policies/agrifood-digital-age</w:t>
        </w:r>
      </w:hyperlink>
    </w:p>
  </w:footnote>
  <w:footnote w:id="42">
    <w:p w:rsidR="00CC01EC" w:rsidRPr="00DF774B" w:rsidRDefault="00CC01EC" w:rsidP="004F53DB">
      <w:pPr>
        <w:pStyle w:val="ad"/>
        <w:jc w:val="both"/>
        <w:rPr>
          <w:lang w:val="ru-RU"/>
        </w:rPr>
      </w:pPr>
      <w:r w:rsidRPr="00E83A9E">
        <w:rPr>
          <w:rStyle w:val="af0"/>
        </w:rPr>
        <w:footnoteRef/>
      </w:r>
      <w:r w:rsidRPr="00DF774B">
        <w:rPr>
          <w:lang w:val="ru-RU"/>
        </w:rPr>
        <w:t xml:space="preserve">Программа «Коперник». (2023). «Наблюдение за Землей для сельского хозяйства». </w:t>
      </w:r>
      <w:hyperlink r:id="rId59" w:history="1">
        <w:r w:rsidRPr="00E83A9E">
          <w:rPr>
            <w:rStyle w:val="af"/>
            <w:lang w:val="en-US"/>
          </w:rPr>
          <w:t>https</w:t>
        </w:r>
        <w:r w:rsidRPr="00DF774B">
          <w:rPr>
            <w:rStyle w:val="af"/>
            <w:lang w:val="ru-RU"/>
          </w:rPr>
          <w:t>://</w:t>
        </w:r>
        <w:r w:rsidRPr="00E83A9E">
          <w:rPr>
            <w:rStyle w:val="af"/>
            <w:lang w:val="en-US"/>
          </w:rPr>
          <w:t>www</w:t>
        </w:r>
        <w:r w:rsidRPr="00DF774B">
          <w:rPr>
            <w:rStyle w:val="af"/>
            <w:lang w:val="ru-RU"/>
          </w:rPr>
          <w:t>.</w:t>
        </w:r>
        <w:r w:rsidRPr="00E83A9E">
          <w:rPr>
            <w:rStyle w:val="af"/>
            <w:lang w:val="en-US"/>
          </w:rPr>
          <w:t>copernicus</w:t>
        </w:r>
        <w:r w:rsidRPr="00DF774B">
          <w:rPr>
            <w:rStyle w:val="af"/>
            <w:lang w:val="ru-RU"/>
          </w:rPr>
          <w:t>.</w:t>
        </w:r>
        <w:r w:rsidRPr="00E83A9E">
          <w:rPr>
            <w:rStyle w:val="af"/>
            <w:lang w:val="en-US"/>
          </w:rPr>
          <w:t>eu</w:t>
        </w:r>
        <w:r w:rsidRPr="00DF774B">
          <w:rPr>
            <w:rStyle w:val="af"/>
            <w:lang w:val="ru-RU"/>
          </w:rPr>
          <w:t>/</w:t>
        </w:r>
        <w:r w:rsidRPr="00E83A9E">
          <w:rPr>
            <w:rStyle w:val="af"/>
            <w:lang w:val="en-US"/>
          </w:rPr>
          <w:t>en</w:t>
        </w:r>
        <w:r w:rsidRPr="00DF774B">
          <w:rPr>
            <w:rStyle w:val="af"/>
            <w:lang w:val="ru-RU"/>
          </w:rPr>
          <w:t>/</w:t>
        </w:r>
        <w:r w:rsidRPr="00E83A9E">
          <w:rPr>
            <w:rStyle w:val="af"/>
            <w:lang w:val="en-US"/>
          </w:rPr>
          <w:t>agriculture</w:t>
        </w:r>
      </w:hyperlink>
    </w:p>
  </w:footnote>
  <w:footnote w:id="43">
    <w:p w:rsidR="00CC01EC" w:rsidRPr="00DF774B" w:rsidRDefault="00CC01EC" w:rsidP="004F53DB">
      <w:pPr>
        <w:pStyle w:val="ad"/>
        <w:jc w:val="both"/>
        <w:rPr>
          <w:lang w:val="ru-RU"/>
        </w:rPr>
      </w:pPr>
      <w:r w:rsidRPr="00E83A9E">
        <w:rPr>
          <w:rStyle w:val="af0"/>
        </w:rPr>
        <w:footnoteRef/>
      </w:r>
      <w:r w:rsidRPr="00E83A9E">
        <w:rPr>
          <w:lang w:val="en-US"/>
        </w:rPr>
        <w:t>IoF</w:t>
      </w:r>
      <w:r w:rsidRPr="00DF774B">
        <w:rPr>
          <w:lang w:val="ru-RU"/>
        </w:rPr>
        <w:t xml:space="preserve">2020 (Интернет продовольствия и сельского хозяйства 2020). (2022). «Итоговый отчет об оценке воздействия». </w:t>
      </w:r>
      <w:hyperlink r:id="rId60" w:history="1">
        <w:r w:rsidRPr="00E83A9E">
          <w:rPr>
            <w:rStyle w:val="af"/>
            <w:lang w:val="en-US"/>
          </w:rPr>
          <w:t>https</w:t>
        </w:r>
        <w:r w:rsidRPr="00DF774B">
          <w:rPr>
            <w:rStyle w:val="af"/>
            <w:lang w:val="ru-RU"/>
          </w:rPr>
          <w:t>://</w:t>
        </w:r>
        <w:r w:rsidRPr="00E83A9E">
          <w:rPr>
            <w:rStyle w:val="af"/>
            <w:lang w:val="en-US"/>
          </w:rPr>
          <w:t>www</w:t>
        </w:r>
        <w:r w:rsidRPr="00DF774B">
          <w:rPr>
            <w:rStyle w:val="af"/>
            <w:lang w:val="ru-RU"/>
          </w:rPr>
          <w:t>.</w:t>
        </w:r>
        <w:r w:rsidRPr="00E83A9E">
          <w:rPr>
            <w:rStyle w:val="af"/>
            <w:lang w:val="en-US"/>
          </w:rPr>
          <w:t>iof</w:t>
        </w:r>
        <w:r w:rsidRPr="00DF774B">
          <w:rPr>
            <w:rStyle w:val="af"/>
            <w:lang w:val="ru-RU"/>
          </w:rPr>
          <w:t>2020.</w:t>
        </w:r>
        <w:r w:rsidRPr="00E83A9E">
          <w:rPr>
            <w:rStyle w:val="af"/>
            <w:lang w:val="en-US"/>
          </w:rPr>
          <w:t>eu</w:t>
        </w:r>
        <w:r w:rsidRPr="00DF774B">
          <w:rPr>
            <w:rStyle w:val="af"/>
            <w:lang w:val="ru-RU"/>
          </w:rPr>
          <w:t>/</w:t>
        </w:r>
        <w:r w:rsidRPr="00E83A9E">
          <w:rPr>
            <w:rStyle w:val="af"/>
            <w:lang w:val="en-US"/>
          </w:rPr>
          <w:t>deliverables</w:t>
        </w:r>
      </w:hyperlink>
    </w:p>
  </w:footnote>
  <w:footnote w:id="44">
    <w:p w:rsidR="00CC01EC" w:rsidRPr="00E83A9E" w:rsidRDefault="00CC01EC" w:rsidP="004F53DB">
      <w:pPr>
        <w:pStyle w:val="ad"/>
        <w:jc w:val="both"/>
      </w:pPr>
      <w:r w:rsidRPr="00E83A9E">
        <w:rPr>
          <w:rStyle w:val="af0"/>
        </w:rPr>
        <w:footnoteRef/>
      </w:r>
      <w:r w:rsidRPr="00DF774B">
        <w:rPr>
          <w:lang w:val="ru-RU"/>
        </w:rPr>
        <w:t xml:space="preserve">Европейский парламент. (2023). «Точное земледелие и будущее сельского хозяйства в Европе». </w:t>
      </w:r>
      <w:hyperlink r:id="rId61" w:history="1">
        <w:r w:rsidRPr="00E83A9E">
          <w:rPr>
            <w:rStyle w:val="af"/>
          </w:rPr>
          <w:t>https://www.europarl.europa.eu/thinktank/en/document/EPRS_STU(2023)698117</w:t>
        </w:r>
      </w:hyperlink>
    </w:p>
  </w:footnote>
  <w:footnote w:id="45">
    <w:p w:rsidR="00CC01EC" w:rsidRPr="00DF774B" w:rsidRDefault="00CC01EC" w:rsidP="004F53DB">
      <w:pPr>
        <w:pStyle w:val="ad"/>
        <w:jc w:val="both"/>
        <w:rPr>
          <w:lang w:val="ru-RU"/>
        </w:rPr>
      </w:pPr>
      <w:r w:rsidRPr="00E83A9E">
        <w:rPr>
          <w:rStyle w:val="af0"/>
        </w:rPr>
        <w:footnoteRef/>
      </w:r>
      <w:r w:rsidRPr="00DF774B">
        <w:rPr>
          <w:lang w:val="ru-RU"/>
        </w:rPr>
        <w:t>Бпифранс (2023). «Годовой отчет: Сельскохозяйственное финансирование», стр. 18-26.</w:t>
      </w:r>
    </w:p>
  </w:footnote>
  <w:footnote w:id="46">
    <w:p w:rsidR="00CC01EC" w:rsidRPr="00DF774B" w:rsidRDefault="00CC01EC" w:rsidP="004F53DB">
      <w:pPr>
        <w:pStyle w:val="ad"/>
        <w:jc w:val="both"/>
        <w:rPr>
          <w:lang w:val="ru-RU"/>
        </w:rPr>
      </w:pPr>
      <w:r w:rsidRPr="00E83A9E">
        <w:rPr>
          <w:rStyle w:val="af0"/>
        </w:rPr>
        <w:footnoteRef/>
      </w:r>
      <w:r w:rsidRPr="00DF774B">
        <w:rPr>
          <w:lang w:val="ru-RU"/>
        </w:rPr>
        <w:t>Инициатива Франция (2022). «Отчет о программе поддержки мелких фермеров», стр. 7-15.</w:t>
      </w:r>
    </w:p>
  </w:footnote>
  <w:footnote w:id="47">
    <w:p w:rsidR="00CC01EC" w:rsidRPr="00DF774B" w:rsidRDefault="00CC01EC" w:rsidP="00AC6CEE">
      <w:pPr>
        <w:pStyle w:val="ad"/>
        <w:jc w:val="both"/>
        <w:rPr>
          <w:lang w:val="ru-RU"/>
        </w:rPr>
      </w:pPr>
      <w:r w:rsidRPr="00E83A9E">
        <w:rPr>
          <w:rStyle w:val="af0"/>
        </w:rPr>
        <w:footnoteRef/>
      </w:r>
      <w:r w:rsidRPr="00DF774B">
        <w:rPr>
          <w:lang w:val="ru-RU"/>
        </w:rPr>
        <w:t xml:space="preserve"> </w:t>
      </w:r>
      <w:hyperlink r:id="rId62" w:history="1">
        <w:r w:rsidRPr="00DF774B">
          <w:rPr>
            <w:rStyle w:val="af"/>
            <w:color w:val="auto"/>
            <w:lang w:val="ru-RU"/>
          </w:rPr>
          <w:t>4.ИНВЕСТИЦИОННЫЕ И СТРОИТЕЛЬНЫЕ РАБОТЫ (7).</w:t>
        </w:r>
        <w:r w:rsidRPr="00E83A9E">
          <w:rPr>
            <w:rStyle w:val="af"/>
            <w:color w:val="auto"/>
            <w:lang w:val="en-US"/>
          </w:rPr>
          <w:t>pdf</w:t>
        </w:r>
        <w:r w:rsidRPr="00DF774B">
          <w:rPr>
            <w:rStyle w:val="af"/>
            <w:color w:val="auto"/>
            <w:lang w:val="ru-RU"/>
          </w:rPr>
          <w:t xml:space="preserve"> </w:t>
        </w:r>
      </w:hyperlink>
      <w:r w:rsidRPr="00DF774B">
        <w:rPr>
          <w:lang w:val="ru-RU"/>
        </w:rPr>
        <w:t>.</w:t>
      </w:r>
    </w:p>
  </w:footnote>
  <w:footnote w:id="48">
    <w:p w:rsidR="00CC01EC" w:rsidRPr="00E83A9E" w:rsidRDefault="00CC01EC" w:rsidP="00AC6CEE">
      <w:pPr>
        <w:pStyle w:val="ad"/>
        <w:jc w:val="both"/>
        <w:rPr>
          <w:lang w:val="uz-Cyrl-UZ"/>
        </w:rPr>
      </w:pPr>
      <w:r w:rsidRPr="00E83A9E">
        <w:rPr>
          <w:rStyle w:val="af0"/>
        </w:rPr>
        <w:footnoteRef/>
      </w:r>
      <w:r w:rsidRPr="00E83A9E">
        <w:rPr>
          <w:lang w:val="uz-Cyrl-UZ"/>
        </w:rPr>
        <w:t xml:space="preserve">Мирзиёев </w:t>
      </w:r>
      <w:r w:rsidRPr="00DF774B">
        <w:rPr>
          <w:lang w:val="ru-RU"/>
        </w:rPr>
        <w:t xml:space="preserve">Ш.М. </w:t>
      </w:r>
      <w:r w:rsidRPr="00E83A9E">
        <w:rPr>
          <w:lang w:val="uz-Cyrl-UZ"/>
        </w:rPr>
        <w:t xml:space="preserve">Мы вместе с нашим храбрым и благородным народом построим свободное, процветающее, демократическое государство Узбекистан: Речь на совместном заседании палат Олий Меджлиса, посвященном торжественной церемонии вступления в должность Президента Республики Узбекистан. //Халг соʻзи, 15 </w:t>
      </w:r>
      <w:r w:rsidRPr="00DF774B">
        <w:rPr>
          <w:lang w:val="ru-RU"/>
        </w:rPr>
        <w:t xml:space="preserve">декабря 2016 </w:t>
      </w:r>
      <w:r w:rsidRPr="00E83A9E">
        <w:rPr>
          <w:lang w:val="uz-Cyrl-UZ"/>
        </w:rPr>
        <w:t>г.</w:t>
      </w:r>
    </w:p>
  </w:footnote>
  <w:footnote w:id="49">
    <w:p w:rsidR="00CC01EC" w:rsidRPr="00E83A9E" w:rsidRDefault="00CC01EC" w:rsidP="00AC6CEE">
      <w:pPr>
        <w:pStyle w:val="ad"/>
        <w:jc w:val="both"/>
        <w:rPr>
          <w:lang w:val="uz-Cyrl-UZ"/>
        </w:rPr>
      </w:pPr>
      <w:r w:rsidRPr="00E83A9E">
        <w:rPr>
          <w:rStyle w:val="af0"/>
        </w:rPr>
        <w:footnoteRef/>
      </w:r>
      <w:r w:rsidRPr="00E83A9E">
        <w:rPr>
          <w:lang w:val="uz-Cyrl-UZ"/>
        </w:rPr>
        <w:t>Продовольственная безопасность: сотни миллионов людей страдают от голода (uza.uz).</w:t>
      </w:r>
    </w:p>
  </w:footnote>
  <w:footnote w:id="50">
    <w:p w:rsidR="00CC01EC" w:rsidRPr="00E83A9E" w:rsidRDefault="00CC01EC" w:rsidP="00AC6CEE">
      <w:pPr>
        <w:pStyle w:val="ad"/>
        <w:jc w:val="both"/>
      </w:pPr>
      <w:r w:rsidRPr="00E83A9E">
        <w:rPr>
          <w:rStyle w:val="af0"/>
        </w:rPr>
        <w:footnoteRef/>
      </w:r>
      <w:r w:rsidRPr="00E83A9E">
        <w:t xml:space="preserve"> </w:t>
      </w:r>
      <w:hyperlink r:id="rId63" w:history="1">
        <w:r w:rsidRPr="00E83A9E">
          <w:rPr>
            <w:rStyle w:val="af"/>
            <w:color w:val="auto"/>
          </w:rPr>
          <w:t xml:space="preserve">Доклад ООН: за год число охлаждающих увеличилось в два раза | Новости ООН (un.org) </w:t>
        </w:r>
      </w:hyperlink>
      <w:r w:rsidRPr="00E83A9E">
        <w:t>.</w:t>
      </w:r>
    </w:p>
  </w:footnote>
  <w:footnote w:id="51">
    <w:p w:rsidR="00CC01EC" w:rsidRPr="00DF774B" w:rsidRDefault="00CC01EC" w:rsidP="00AC6CEE">
      <w:pPr>
        <w:pStyle w:val="ad"/>
        <w:jc w:val="both"/>
        <w:rPr>
          <w:lang w:val="ru-RU"/>
        </w:rPr>
      </w:pPr>
      <w:r w:rsidRPr="00E83A9E">
        <w:rPr>
          <w:rStyle w:val="af0"/>
        </w:rPr>
        <w:footnoteRef/>
      </w:r>
      <w:r w:rsidRPr="00E83A9E">
        <w:t xml:space="preserve"> </w:t>
      </w:r>
      <w:r w:rsidRPr="00E83A9E">
        <w:rPr>
          <w:bCs/>
          <w:shd w:val="clear" w:color="auto" w:fill="FFFFFF"/>
          <w:lang w:val="uz-Cyrl-UZ"/>
        </w:rPr>
        <w:t xml:space="preserve">Исмаилов А., Муртазаев </w:t>
      </w:r>
      <w:r w:rsidRPr="00DF774B">
        <w:rPr>
          <w:bCs/>
          <w:shd w:val="clear" w:color="auto" w:fill="FFFFFF"/>
          <w:lang w:val="ru-RU"/>
        </w:rPr>
        <w:t xml:space="preserve">О. </w:t>
      </w:r>
      <w:r w:rsidRPr="00E83A9E">
        <w:rPr>
          <w:bCs/>
          <w:shd w:val="clear" w:color="auto" w:fill="FFFFFF"/>
          <w:lang w:val="uz-Cyrl-UZ"/>
        </w:rPr>
        <w:t xml:space="preserve">Сельскохозяйственная экономика. Учебник. – Т.: «Финансы», 2005. 133 </w:t>
      </w:r>
      <w:r w:rsidRPr="00DF774B">
        <w:rPr>
          <w:bCs/>
          <w:shd w:val="clear" w:color="auto" w:fill="FFFFFF"/>
          <w:lang w:val="ru-RU"/>
        </w:rPr>
        <w:t xml:space="preserve">с </w:t>
      </w:r>
      <w:r w:rsidRPr="00E83A9E">
        <w:rPr>
          <w:bCs/>
          <w:shd w:val="clear" w:color="auto" w:fill="FFFFFF"/>
          <w:lang w:val="uz-Cyrl-UZ"/>
        </w:rPr>
        <w:t>.</w:t>
      </w:r>
    </w:p>
  </w:footnote>
  <w:footnote w:id="52">
    <w:p w:rsidR="00CC01EC" w:rsidRPr="00DF774B" w:rsidRDefault="00CC01EC" w:rsidP="00AC6CEE">
      <w:pPr>
        <w:pStyle w:val="ad"/>
        <w:jc w:val="both"/>
        <w:rPr>
          <w:lang w:val="ru-RU"/>
        </w:rPr>
      </w:pPr>
      <w:r w:rsidRPr="00E83A9E">
        <w:rPr>
          <w:rStyle w:val="af0"/>
        </w:rPr>
        <w:footnoteRef/>
      </w:r>
      <w:r w:rsidRPr="00DF774B">
        <w:rPr>
          <w:lang w:val="ru-RU"/>
        </w:rPr>
        <w:t xml:space="preserve"> </w:t>
      </w:r>
      <w:r w:rsidRPr="00E83A9E">
        <w:rPr>
          <w:spacing w:val="-2"/>
          <w:shd w:val="clear" w:color="auto" w:fill="FFFFFF"/>
          <w:lang w:val="uz-Cyrl-UZ"/>
        </w:rPr>
        <w:t>https://uza.uz/uz/posts/ozbekistondagi-zhami-hududning-97-foizi-sugoriylisy-erlar-hissasiga-togri-keladi_366676.</w:t>
      </w:r>
    </w:p>
  </w:footnote>
  <w:footnote w:id="53">
    <w:p w:rsidR="00CC01EC" w:rsidRPr="00DF774B" w:rsidRDefault="00CC01EC" w:rsidP="00AC6CEE">
      <w:pPr>
        <w:pStyle w:val="ad"/>
        <w:jc w:val="both"/>
        <w:rPr>
          <w:lang w:val="ru-RU"/>
        </w:rPr>
      </w:pPr>
      <w:r w:rsidRPr="00E83A9E">
        <w:rPr>
          <w:rStyle w:val="af0"/>
        </w:rPr>
        <w:footnoteRef/>
      </w:r>
      <w:r w:rsidRPr="00E83A9E">
        <w:rPr>
          <w:lang w:val="en-US"/>
        </w:rPr>
        <w:t>https</w:t>
      </w:r>
      <w:r w:rsidRPr="00DF774B">
        <w:rPr>
          <w:lang w:val="ru-RU"/>
        </w:rPr>
        <w:t>://</w:t>
      </w:r>
      <w:r w:rsidRPr="00E83A9E">
        <w:rPr>
          <w:lang w:val="en-US"/>
        </w:rPr>
        <w:t>pm</w:t>
      </w:r>
      <w:r w:rsidRPr="00DF774B">
        <w:rPr>
          <w:lang w:val="ru-RU"/>
        </w:rPr>
        <w:t>.</w:t>
      </w:r>
      <w:r w:rsidRPr="00E83A9E">
        <w:rPr>
          <w:lang w:val="en-US"/>
        </w:rPr>
        <w:t>gov</w:t>
      </w:r>
      <w:r w:rsidRPr="00DF774B">
        <w:rPr>
          <w:lang w:val="ru-RU"/>
        </w:rPr>
        <w:t>.</w:t>
      </w:r>
      <w:r w:rsidRPr="00E83A9E">
        <w:rPr>
          <w:lang w:val="en-US"/>
        </w:rPr>
        <w:t>uz</w:t>
      </w:r>
      <w:r w:rsidRPr="00DF774B">
        <w:rPr>
          <w:lang w:val="ru-RU"/>
        </w:rPr>
        <w:t>/</w:t>
      </w:r>
      <w:r w:rsidRPr="00E83A9E">
        <w:rPr>
          <w:lang w:val="en-US"/>
        </w:rPr>
        <w:t>uz</w:t>
      </w:r>
      <w:r w:rsidRPr="00DF774B">
        <w:rPr>
          <w:lang w:val="ru-RU"/>
        </w:rPr>
        <w:t>/</w:t>
      </w:r>
      <w:r w:rsidRPr="00E83A9E">
        <w:rPr>
          <w:lang w:val="en-US"/>
        </w:rPr>
        <w:t>lists</w:t>
      </w:r>
      <w:r w:rsidRPr="00DF774B">
        <w:rPr>
          <w:lang w:val="ru-RU"/>
        </w:rPr>
        <w:t>/</w:t>
      </w:r>
      <w:r w:rsidRPr="00E83A9E">
        <w:rPr>
          <w:lang w:val="en-US"/>
        </w:rPr>
        <w:t>view</w:t>
      </w:r>
      <w:r w:rsidRPr="00DF774B">
        <w:rPr>
          <w:lang w:val="ru-RU"/>
        </w:rPr>
        <w:t>/679.</w:t>
      </w:r>
    </w:p>
  </w:footnote>
  <w:footnote w:id="54">
    <w:p w:rsidR="00CC01EC" w:rsidRPr="00DF774B" w:rsidRDefault="00CC01EC" w:rsidP="00AC6CEE">
      <w:pPr>
        <w:pStyle w:val="ad"/>
        <w:jc w:val="both"/>
        <w:rPr>
          <w:lang w:val="ru-RU"/>
        </w:rPr>
      </w:pPr>
      <w:r w:rsidRPr="00E83A9E">
        <w:rPr>
          <w:rStyle w:val="af0"/>
        </w:rPr>
        <w:footnoteRef/>
      </w:r>
      <w:r w:rsidRPr="00DF774B">
        <w:rPr>
          <w:lang w:val="ru-RU"/>
        </w:rPr>
        <w:t xml:space="preserve"> </w:t>
      </w:r>
      <w:hyperlink r:id="rId64" w:history="1">
        <w:r w:rsidRPr="00E83A9E">
          <w:rPr>
            <w:rStyle w:val="af"/>
            <w:color w:val="auto"/>
            <w:lang w:val="en-US"/>
          </w:rPr>
          <w:t>moluch</w:t>
        </w:r>
        <w:r w:rsidRPr="00DF774B">
          <w:rPr>
            <w:rStyle w:val="af"/>
            <w:color w:val="auto"/>
            <w:lang w:val="ru-RU"/>
          </w:rPr>
          <w:t>_322_</w:t>
        </w:r>
        <w:r w:rsidRPr="00E83A9E">
          <w:rPr>
            <w:rStyle w:val="af"/>
            <w:color w:val="auto"/>
            <w:lang w:val="en-US"/>
          </w:rPr>
          <w:t>ch</w:t>
        </w:r>
        <w:r w:rsidRPr="00DF774B">
          <w:rPr>
            <w:rStyle w:val="af"/>
            <w:color w:val="auto"/>
            <w:lang w:val="ru-RU"/>
          </w:rPr>
          <w:t>2.</w:t>
        </w:r>
        <w:r w:rsidRPr="00E83A9E">
          <w:rPr>
            <w:rStyle w:val="af"/>
            <w:color w:val="auto"/>
            <w:lang w:val="en-US"/>
          </w:rPr>
          <w:t>pdf</w:t>
        </w:r>
        <w:r w:rsidRPr="00DF774B">
          <w:rPr>
            <w:rStyle w:val="af"/>
            <w:color w:val="auto"/>
            <w:lang w:val="ru-RU"/>
          </w:rPr>
          <w:t xml:space="preserve"> </w:t>
        </w:r>
      </w:hyperlink>
      <w:r w:rsidRPr="00DF774B">
        <w:rPr>
          <w:lang w:val="ru-RU"/>
        </w:rPr>
        <w:t>.</w:t>
      </w:r>
    </w:p>
  </w:footnote>
  <w:footnote w:id="55">
    <w:p w:rsidR="00CC01EC" w:rsidRPr="00E83A9E" w:rsidRDefault="00CC01EC" w:rsidP="00AC6CEE">
      <w:pPr>
        <w:pStyle w:val="ad"/>
        <w:jc w:val="both"/>
        <w:rPr>
          <w:lang w:val="uz-Cyrl-UZ"/>
        </w:rPr>
      </w:pPr>
      <w:r w:rsidRPr="00E83A9E">
        <w:rPr>
          <w:rStyle w:val="af0"/>
        </w:rPr>
        <w:footnoteRef/>
      </w:r>
      <w:r w:rsidRPr="00DF774B">
        <w:rPr>
          <w:lang w:val="ru-RU"/>
        </w:rPr>
        <w:t>В нее входит стоимость всех сельскохозяйственных культур, собранных в ходе уборки урожая, включая фрукты и ягоды, виноград, кормовые культуры, семена и посадочный материал, а также незавершенное производство в сельском хозяйстве и другие виды сельскохозяйственной продукции.</w:t>
      </w:r>
    </w:p>
  </w:footnote>
  <w:footnote w:id="56">
    <w:p w:rsidR="00CC01EC" w:rsidRPr="00E83A9E" w:rsidRDefault="00CC01EC" w:rsidP="00AC6CEE">
      <w:pPr>
        <w:pStyle w:val="ad"/>
        <w:jc w:val="both"/>
        <w:rPr>
          <w:lang w:val="en-US"/>
        </w:rPr>
      </w:pPr>
      <w:r w:rsidRPr="00E83A9E">
        <w:rPr>
          <w:rStyle w:val="af0"/>
        </w:rPr>
        <w:footnoteRef/>
      </w:r>
      <w:r w:rsidRPr="00E83A9E">
        <w:rPr>
          <w:lang w:val="uz-Cyrl-UZ"/>
        </w:rPr>
        <w:t xml:space="preserve"> </w:t>
      </w:r>
      <w:r w:rsidRPr="00E83A9E">
        <w:rPr>
          <w:lang w:val="en-US"/>
        </w:rPr>
        <w:t>Иностранные инвестиции в аграрный сектор - Bugun.uz.</w:t>
      </w:r>
    </w:p>
  </w:footnote>
  <w:footnote w:id="57">
    <w:p w:rsidR="00CC01EC" w:rsidRPr="00E83A9E" w:rsidRDefault="00CC01EC" w:rsidP="003D353C">
      <w:pPr>
        <w:pStyle w:val="ad"/>
        <w:jc w:val="both"/>
        <w:rPr>
          <w:lang w:val="uz-Cyrl-UZ"/>
        </w:rPr>
      </w:pPr>
      <w:r w:rsidRPr="00E83A9E">
        <w:rPr>
          <w:rStyle w:val="af0"/>
        </w:rPr>
        <w:footnoteRef/>
      </w:r>
      <w:r w:rsidRPr="00E83A9E">
        <w:rPr>
          <w:lang w:val="uz-Cyrl-UZ"/>
        </w:rPr>
        <w:t xml:space="preserve"> </w:t>
      </w:r>
      <w:r w:rsidRPr="00E83A9E">
        <w:rPr>
          <w:lang w:val="en-US"/>
        </w:rPr>
        <w:t>Рахмонов Н. На пути к процветающему сельскому хозяйству в Узбекистане – прямые иностранные инвестиции и государственные расходы в сельской местности // Центральноазиатский политический журнал. Т. 2. № 1. 2021. С. 37–54.</w:t>
      </w:r>
    </w:p>
  </w:footnote>
  <w:footnote w:id="58">
    <w:p w:rsidR="00CC01EC" w:rsidRPr="00E83A9E" w:rsidRDefault="00CC01EC" w:rsidP="003D353C">
      <w:pPr>
        <w:pStyle w:val="ad"/>
        <w:jc w:val="both"/>
        <w:rPr>
          <w:lang w:val="uz-Cyrl-UZ"/>
        </w:rPr>
      </w:pPr>
      <w:r w:rsidRPr="00E83A9E">
        <w:rPr>
          <w:rStyle w:val="af0"/>
        </w:rPr>
        <w:footnoteRef/>
      </w:r>
      <w:r w:rsidRPr="00E83A9E">
        <w:rPr>
          <w:lang w:val="uz-Cyrl-UZ"/>
        </w:rPr>
        <w:t>Были выявлены системные проблемы в обеспечении сельского хозяйства современным оборудованием.</w:t>
      </w:r>
    </w:p>
  </w:footnote>
  <w:footnote w:id="59">
    <w:p w:rsidR="00CC01EC" w:rsidRPr="00E83A9E" w:rsidRDefault="00CC01EC" w:rsidP="003D353C">
      <w:pPr>
        <w:pStyle w:val="ad"/>
        <w:jc w:val="both"/>
        <w:rPr>
          <w:lang w:val="uz-Cyrl-UZ"/>
        </w:rPr>
      </w:pPr>
      <w:r w:rsidRPr="00E83A9E">
        <w:rPr>
          <w:rStyle w:val="af0"/>
        </w:rPr>
        <w:footnoteRef/>
      </w:r>
      <w:r w:rsidRPr="00E83A9E">
        <w:rPr>
          <w:lang w:val="uz-Cyrl-UZ"/>
        </w:rPr>
        <w:t xml:space="preserve"> </w:t>
      </w:r>
      <w:hyperlink r:id="rId65" w:history="1">
        <w:r w:rsidRPr="00E83A9E">
          <w:rPr>
            <w:rStyle w:val="af"/>
            <w:color w:val="auto"/>
            <w:lang w:val="uz-Cyrl-UZ"/>
          </w:rPr>
          <w:t xml:space="preserve">Инвестиционный потенциал Центральной Азии - как его увидеть в Boston Consulting Group - Central Asia Analytical Network </w:t>
        </w:r>
      </w:hyperlink>
      <w:r w:rsidRPr="00E83A9E">
        <w:rPr>
          <w:lang w:val="uz-Cyrl-UZ"/>
        </w:rPr>
        <w:t>.</w:t>
      </w:r>
    </w:p>
  </w:footnote>
  <w:footnote w:id="60">
    <w:p w:rsidR="00CC01EC" w:rsidRPr="00E83A9E" w:rsidRDefault="00CC01EC" w:rsidP="003D353C">
      <w:pPr>
        <w:pStyle w:val="ad"/>
        <w:jc w:val="both"/>
        <w:rPr>
          <w:lang w:val="uz-Cyrl-UZ"/>
        </w:rPr>
      </w:pPr>
      <w:r w:rsidRPr="00E83A9E">
        <w:rPr>
          <w:rStyle w:val="af0"/>
        </w:rPr>
        <w:footnoteRef/>
      </w:r>
      <w:r w:rsidRPr="00E83A9E">
        <w:rPr>
          <w:lang w:val="uz-Cyrl-UZ"/>
        </w:rPr>
        <w:t>BCG — крупнейшая международная консалтинговая организация, имеющая 90 офисов в 50 странах.</w:t>
      </w:r>
    </w:p>
  </w:footnote>
  <w:footnote w:id="61">
    <w:p w:rsidR="00CC01EC" w:rsidRPr="00E83A9E" w:rsidRDefault="00CC01EC" w:rsidP="003D353C">
      <w:pPr>
        <w:pStyle w:val="ad"/>
        <w:jc w:val="both"/>
      </w:pPr>
      <w:r w:rsidRPr="00E83A9E">
        <w:rPr>
          <w:rStyle w:val="af0"/>
        </w:rPr>
        <w:footnoteRef/>
      </w:r>
      <w:r w:rsidRPr="00E83A9E">
        <w:t xml:space="preserve"> </w:t>
      </w:r>
      <w:hyperlink r:id="rId66" w:history="1">
        <w:r w:rsidRPr="00E83A9E">
          <w:rPr>
            <w:rStyle w:val="af"/>
            <w:color w:val="auto"/>
          </w:rPr>
          <w:t xml:space="preserve">Аграрии ЦА из-за плохой развитой инфраструктуры теряют до 40% урожайная - эксперты | Inbusiness.kz </w:t>
        </w:r>
      </w:hyperlink>
      <w:r w:rsidRPr="00E83A9E">
        <w:t>.</w:t>
      </w:r>
    </w:p>
  </w:footnote>
  <w:footnote w:id="62">
    <w:p w:rsidR="00CC01EC" w:rsidRPr="00E83A9E" w:rsidRDefault="00CC01EC" w:rsidP="003D353C">
      <w:pPr>
        <w:pStyle w:val="ad"/>
        <w:jc w:val="both"/>
        <w:rPr>
          <w:lang w:val="uz-Cyrl-UZ"/>
        </w:rPr>
      </w:pPr>
      <w:r w:rsidRPr="00E83A9E">
        <w:rPr>
          <w:rStyle w:val="af0"/>
        </w:rPr>
        <w:footnoteRef/>
      </w:r>
      <w:r w:rsidRPr="00E83A9E">
        <w:t xml:space="preserve"> </w:t>
      </w:r>
      <w:hyperlink r:id="rId67" w:history="1">
        <w:r w:rsidRPr="00E83A9E">
          <w:rPr>
            <w:rStyle w:val="af"/>
            <w:color w:val="auto"/>
          </w:rPr>
          <w:t xml:space="preserve">Угроза реализации аграрной реформы - Новости Узбекистана - Gazeta.uz </w:t>
        </w:r>
      </w:hyperlink>
      <w:r w:rsidRPr="00E83A9E">
        <w:rPr>
          <w:lang w:val="uz-Cyrl-UZ"/>
        </w:rPr>
        <w:t>.</w:t>
      </w:r>
    </w:p>
  </w:footnote>
  <w:footnote w:id="63">
    <w:p w:rsidR="00CC01EC" w:rsidRPr="00E83A9E" w:rsidRDefault="00CC01EC" w:rsidP="003D353C">
      <w:pPr>
        <w:pStyle w:val="ad"/>
        <w:jc w:val="both"/>
        <w:rPr>
          <w:lang w:val="uz-Cyrl-UZ"/>
        </w:rPr>
      </w:pPr>
      <w:r w:rsidRPr="00E83A9E">
        <w:rPr>
          <w:rStyle w:val="af0"/>
        </w:rPr>
        <w:footnoteRef/>
      </w:r>
      <w:r w:rsidRPr="00E83A9E">
        <w:rPr>
          <w:lang w:val="en-US"/>
        </w:rPr>
        <w:t xml:space="preserve"> </w:t>
      </w:r>
      <w:r w:rsidRPr="00E83A9E">
        <w:rPr>
          <w:lang w:val="uz-Cyrl-UZ"/>
        </w:rPr>
        <w:t xml:space="preserve">Конституция Республики Узбекистан. Вступила в силу 1 мая </w:t>
      </w:r>
      <w:r w:rsidRPr="00E83A9E">
        <w:rPr>
          <w:lang w:val="en-US"/>
        </w:rPr>
        <w:t>2023 года ( 30.04.2023. Конституция Республики Узбекистан).</w:t>
      </w:r>
    </w:p>
  </w:footnote>
  <w:footnote w:id="64">
    <w:p w:rsidR="00CC01EC" w:rsidRPr="00E83A9E" w:rsidRDefault="00CC01EC">
      <w:pPr>
        <w:pStyle w:val="ad"/>
        <w:rPr>
          <w:lang w:val="en-US"/>
        </w:rPr>
      </w:pPr>
      <w:r w:rsidRPr="00E83A9E">
        <w:rPr>
          <w:rStyle w:val="af0"/>
        </w:rPr>
        <w:footnoteRef/>
      </w:r>
      <w:r w:rsidRPr="00E83A9E">
        <w:rPr>
          <w:lang w:val="en-US"/>
        </w:rPr>
        <w:t>Подготовлено автором.</w:t>
      </w:r>
    </w:p>
  </w:footnote>
  <w:footnote w:id="65">
    <w:p w:rsidR="00CC01EC" w:rsidRPr="00E83A9E" w:rsidRDefault="00CC01EC">
      <w:pPr>
        <w:pStyle w:val="ad"/>
        <w:rPr>
          <w:lang w:val="en-US"/>
        </w:rPr>
      </w:pPr>
      <w:r w:rsidRPr="00E83A9E">
        <w:rPr>
          <w:rStyle w:val="af0"/>
        </w:rPr>
        <w:footnoteRef/>
      </w:r>
      <w:r w:rsidRPr="00E83A9E">
        <w:rPr>
          <w:lang w:val="en-US"/>
        </w:rPr>
        <w:t>Подготовлено автором.</w:t>
      </w:r>
    </w:p>
  </w:footnote>
  <w:footnote w:id="66">
    <w:p w:rsidR="00CC01EC" w:rsidRPr="00E83A9E" w:rsidRDefault="00CC01EC">
      <w:pPr>
        <w:pStyle w:val="ad"/>
        <w:rPr>
          <w:lang w:val="en-US"/>
        </w:rPr>
      </w:pPr>
      <w:r w:rsidRPr="00E83A9E">
        <w:rPr>
          <w:rStyle w:val="af0"/>
        </w:rPr>
        <w:footnoteRef/>
      </w:r>
      <w:r w:rsidRPr="00E83A9E">
        <w:rPr>
          <w:lang w:val="en-US"/>
        </w:rPr>
        <w:t>Подготовлено автором.</w:t>
      </w:r>
    </w:p>
  </w:footnote>
  <w:footnote w:id="67">
    <w:p w:rsidR="00CC01EC" w:rsidRPr="00E83A9E" w:rsidRDefault="00CC01EC">
      <w:pPr>
        <w:pStyle w:val="ad"/>
        <w:rPr>
          <w:lang w:val="en-US"/>
        </w:rPr>
      </w:pPr>
      <w:r w:rsidRPr="00E83A9E">
        <w:rPr>
          <w:rStyle w:val="af0"/>
        </w:rPr>
        <w:footnoteRef/>
      </w:r>
      <w:r w:rsidRPr="00E83A9E">
        <w:rPr>
          <w:lang w:val="en-US"/>
        </w:rPr>
        <w:t>Подготовлено автором.</w:t>
      </w:r>
    </w:p>
  </w:footnote>
  <w:footnote w:id="68">
    <w:p w:rsidR="00CC01EC" w:rsidRPr="00E83A9E" w:rsidRDefault="00CC01EC">
      <w:pPr>
        <w:pStyle w:val="ad"/>
        <w:rPr>
          <w:lang w:val="en-US"/>
        </w:rPr>
      </w:pPr>
      <w:r w:rsidRPr="00E83A9E">
        <w:rPr>
          <w:rStyle w:val="af0"/>
        </w:rPr>
        <w:footnoteRef/>
      </w:r>
      <w:r w:rsidRPr="00E83A9E">
        <w:rPr>
          <w:lang w:val="en-US"/>
        </w:rPr>
        <w:t>Подготовлено автором.</w:t>
      </w:r>
    </w:p>
  </w:footnote>
  <w:footnote w:id="69">
    <w:p w:rsidR="00CC01EC" w:rsidRPr="00E83A9E" w:rsidRDefault="00CC01EC">
      <w:pPr>
        <w:pStyle w:val="ad"/>
        <w:rPr>
          <w:lang w:val="en-US"/>
        </w:rPr>
      </w:pPr>
      <w:r w:rsidRPr="00E83A9E">
        <w:rPr>
          <w:rStyle w:val="af0"/>
        </w:rPr>
        <w:footnoteRef/>
      </w:r>
      <w:r w:rsidRPr="00E83A9E">
        <w:rPr>
          <w:lang w:val="en-US"/>
        </w:rPr>
        <w:t>Подготовлено автором.</w:t>
      </w:r>
    </w:p>
  </w:footnote>
  <w:footnote w:id="70">
    <w:p w:rsidR="00CC01EC" w:rsidRPr="00E83A9E" w:rsidRDefault="00CC01EC" w:rsidP="00940E35">
      <w:pPr>
        <w:pStyle w:val="ad"/>
        <w:jc w:val="both"/>
        <w:rPr>
          <w:lang w:val="uz-Cyrl-UZ"/>
        </w:rPr>
      </w:pPr>
      <w:r w:rsidRPr="00E83A9E">
        <w:rPr>
          <w:rStyle w:val="af0"/>
        </w:rPr>
        <w:footnoteRef/>
      </w:r>
      <w:r w:rsidRPr="00E83A9E">
        <w:rPr>
          <w:lang w:val="uz-Cyrl-UZ"/>
        </w:rPr>
        <w:t>Расчеты выполнены автором на основе статистических данных Статистического агентства при Президенте Республики Узбекистан.</w:t>
      </w:r>
    </w:p>
  </w:footnote>
  <w:footnote w:id="71">
    <w:p w:rsidR="00CC01EC" w:rsidRPr="00E83A9E" w:rsidRDefault="00CC01EC" w:rsidP="00940E35">
      <w:pPr>
        <w:pStyle w:val="ad"/>
        <w:jc w:val="both"/>
        <w:rPr>
          <w:lang w:val="uz-Cyrl-UZ"/>
        </w:rPr>
      </w:pPr>
      <w:r w:rsidRPr="00E83A9E">
        <w:rPr>
          <w:rStyle w:val="af0"/>
        </w:rPr>
        <w:footnoteRef/>
      </w:r>
      <w:r w:rsidRPr="00E83A9E">
        <w:rPr>
          <w:lang w:val="uz-Cyrl-UZ"/>
        </w:rPr>
        <w:t>Разработано исследователем на основе результатов экономико-математического анализа.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4C79B8"/>
    <w:multiLevelType w:val="hybridMultilevel"/>
    <w:tmpl w:val="4E1264CC"/>
    <w:lvl w:ilvl="0" w:tplc="6E80942E">
      <w:start w:val="1"/>
      <w:numFmt w:val="decimal"/>
      <w:lvlText w:val="%1."/>
      <w:lvlJc w:val="left"/>
      <w:pPr>
        <w:ind w:left="1080" w:hanging="720"/>
      </w:pPr>
      <w:rPr>
        <w:rFonts w:ascii="Times New Roman" w:hAnsi="Times New Roman" w:cs="Times New Roman" w:hint="default"/>
        <w:b w:val="0"/>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1B6AE1"/>
    <w:multiLevelType w:val="hybridMultilevel"/>
    <w:tmpl w:val="331C2146"/>
    <w:lvl w:ilvl="0" w:tplc="0419000F">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C03431"/>
    <w:multiLevelType w:val="hybridMultilevel"/>
    <w:tmpl w:val="556213C8"/>
    <w:lvl w:ilvl="0" w:tplc="E39EC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ABA3DF7"/>
    <w:multiLevelType w:val="hybridMultilevel"/>
    <w:tmpl w:val="72743786"/>
    <w:lvl w:ilvl="0" w:tplc="CB2865A2">
      <w:start w:val="10"/>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EE7E47"/>
    <w:multiLevelType w:val="multilevel"/>
    <w:tmpl w:val="64081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7A10BE"/>
    <w:multiLevelType w:val="hybridMultilevel"/>
    <w:tmpl w:val="8954E77C"/>
    <w:lvl w:ilvl="0" w:tplc="0CB4AC1E">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6">
    <w:nsid w:val="46700712"/>
    <w:multiLevelType w:val="hybridMultilevel"/>
    <w:tmpl w:val="D01EB09C"/>
    <w:lvl w:ilvl="0" w:tplc="E1C015EE">
      <w:numFmt w:val="bullet"/>
      <w:lvlText w:val="–"/>
      <w:lvlJc w:val="left"/>
      <w:pPr>
        <w:ind w:left="1429" w:hanging="360"/>
      </w:pPr>
      <w:rPr>
        <w:rFonts w:ascii="Times New Roman" w:eastAsia="Calibri" w:hAnsi="Times New Roman" w:cs="Times New Roman" w:hint="default"/>
        <w:b w:val="0"/>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636304D"/>
    <w:multiLevelType w:val="hybridMultilevel"/>
    <w:tmpl w:val="9314CF80"/>
    <w:lvl w:ilvl="0" w:tplc="0C78D810">
      <w:start w:val="1"/>
      <w:numFmt w:val="decimal"/>
      <w:lvlText w:val="%1."/>
      <w:lvlJc w:val="left"/>
      <w:pPr>
        <w:ind w:left="1287" w:hanging="360"/>
      </w:pPr>
      <w:rPr>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59C10F39"/>
    <w:multiLevelType w:val="hybridMultilevel"/>
    <w:tmpl w:val="8280E60A"/>
    <w:lvl w:ilvl="0" w:tplc="E1C015EE">
      <w:numFmt w:val="bullet"/>
      <w:lvlText w:val="–"/>
      <w:lvlJc w:val="left"/>
      <w:pPr>
        <w:ind w:left="1429" w:hanging="360"/>
      </w:pPr>
      <w:rPr>
        <w:rFonts w:ascii="Times New Roman" w:eastAsia="Calibri" w:hAnsi="Times New Roman" w:cs="Times New Roman" w:hint="default"/>
        <w:b w:val="0"/>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60823178"/>
    <w:multiLevelType w:val="hybridMultilevel"/>
    <w:tmpl w:val="EA7065AC"/>
    <w:lvl w:ilvl="0" w:tplc="E1C015EE">
      <w:numFmt w:val="bullet"/>
      <w:lvlText w:val="–"/>
      <w:lvlJc w:val="left"/>
      <w:pPr>
        <w:ind w:left="1429" w:hanging="360"/>
      </w:pPr>
      <w:rPr>
        <w:rFonts w:ascii="Times New Roman" w:eastAsia="Calibri" w:hAnsi="Times New Roman" w:cs="Times New Roman" w:hint="default"/>
        <w:b w:val="0"/>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30559EF"/>
    <w:multiLevelType w:val="hybridMultilevel"/>
    <w:tmpl w:val="7BBEB8C2"/>
    <w:lvl w:ilvl="0" w:tplc="B86A73A8">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78B214CF"/>
    <w:multiLevelType w:val="hybridMultilevel"/>
    <w:tmpl w:val="0DAE2EB2"/>
    <w:lvl w:ilvl="0" w:tplc="E1C015EE">
      <w:numFmt w:val="bullet"/>
      <w:lvlText w:val="–"/>
      <w:lvlJc w:val="left"/>
      <w:pPr>
        <w:ind w:left="1429" w:hanging="360"/>
      </w:pPr>
      <w:rPr>
        <w:rFonts w:ascii="Times New Roman" w:eastAsia="Calibri" w:hAnsi="Times New Roman" w:cs="Times New Roman" w:hint="default"/>
        <w:b w:val="0"/>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7A270632"/>
    <w:multiLevelType w:val="hybridMultilevel"/>
    <w:tmpl w:val="82902D44"/>
    <w:lvl w:ilvl="0" w:tplc="DBEED6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FE673C6"/>
    <w:multiLevelType w:val="multilevel"/>
    <w:tmpl w:val="A27E6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6"/>
  </w:num>
  <w:num w:numId="3">
    <w:abstractNumId w:val="11"/>
  </w:num>
  <w:num w:numId="4">
    <w:abstractNumId w:val="10"/>
  </w:num>
  <w:num w:numId="5">
    <w:abstractNumId w:val="12"/>
  </w:num>
  <w:num w:numId="6">
    <w:abstractNumId w:val="8"/>
  </w:num>
  <w:num w:numId="7">
    <w:abstractNumId w:val="5"/>
  </w:num>
  <w:num w:numId="8">
    <w:abstractNumId w:val="7"/>
  </w:num>
  <w:num w:numId="9">
    <w:abstractNumId w:val="13"/>
  </w:num>
  <w:num w:numId="10">
    <w:abstractNumId w:val="3"/>
  </w:num>
  <w:num w:numId="11">
    <w:abstractNumId w:val="2"/>
  </w:num>
  <w:num w:numId="12">
    <w:abstractNumId w:val="1"/>
  </w:num>
  <w:num w:numId="13">
    <w:abstractNumId w:val="0"/>
  </w:num>
  <w:num w:numId="1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521"/>
    <w:rsid w:val="00010A36"/>
    <w:rsid w:val="00017D7A"/>
    <w:rsid w:val="00030DB9"/>
    <w:rsid w:val="00064A36"/>
    <w:rsid w:val="000651EB"/>
    <w:rsid w:val="000974B6"/>
    <w:rsid w:val="000D6A3F"/>
    <w:rsid w:val="000F034F"/>
    <w:rsid w:val="000F490B"/>
    <w:rsid w:val="000F56D5"/>
    <w:rsid w:val="00107C58"/>
    <w:rsid w:val="001243C6"/>
    <w:rsid w:val="0012517D"/>
    <w:rsid w:val="00132EA0"/>
    <w:rsid w:val="00134616"/>
    <w:rsid w:val="001A3ED9"/>
    <w:rsid w:val="001D42B0"/>
    <w:rsid w:val="001D5A1B"/>
    <w:rsid w:val="001F06BB"/>
    <w:rsid w:val="00261CD4"/>
    <w:rsid w:val="00262CB8"/>
    <w:rsid w:val="0027090B"/>
    <w:rsid w:val="002A7F6B"/>
    <w:rsid w:val="002C656B"/>
    <w:rsid w:val="002D3A8D"/>
    <w:rsid w:val="002D7E1E"/>
    <w:rsid w:val="002F2D74"/>
    <w:rsid w:val="002F3498"/>
    <w:rsid w:val="003428D1"/>
    <w:rsid w:val="00361092"/>
    <w:rsid w:val="003D353C"/>
    <w:rsid w:val="00406D6D"/>
    <w:rsid w:val="00411189"/>
    <w:rsid w:val="00417D65"/>
    <w:rsid w:val="00450040"/>
    <w:rsid w:val="00454597"/>
    <w:rsid w:val="00456B81"/>
    <w:rsid w:val="00462A10"/>
    <w:rsid w:val="00471550"/>
    <w:rsid w:val="00487CDF"/>
    <w:rsid w:val="00497258"/>
    <w:rsid w:val="004A4CC9"/>
    <w:rsid w:val="004B386D"/>
    <w:rsid w:val="004F1A93"/>
    <w:rsid w:val="004F53DB"/>
    <w:rsid w:val="004F6E6E"/>
    <w:rsid w:val="005118C1"/>
    <w:rsid w:val="00512FF0"/>
    <w:rsid w:val="00577312"/>
    <w:rsid w:val="00584EE0"/>
    <w:rsid w:val="00593C7B"/>
    <w:rsid w:val="00595CF8"/>
    <w:rsid w:val="0063404E"/>
    <w:rsid w:val="0064701A"/>
    <w:rsid w:val="006502F0"/>
    <w:rsid w:val="00675A4F"/>
    <w:rsid w:val="006B5E8E"/>
    <w:rsid w:val="006C0B77"/>
    <w:rsid w:val="006C24C3"/>
    <w:rsid w:val="007028FB"/>
    <w:rsid w:val="0071629C"/>
    <w:rsid w:val="007261D9"/>
    <w:rsid w:val="0075212B"/>
    <w:rsid w:val="00761A88"/>
    <w:rsid w:val="00777A9E"/>
    <w:rsid w:val="00783D32"/>
    <w:rsid w:val="0079280C"/>
    <w:rsid w:val="00795A26"/>
    <w:rsid w:val="007B50BF"/>
    <w:rsid w:val="007B5108"/>
    <w:rsid w:val="007C66ED"/>
    <w:rsid w:val="007E6B6E"/>
    <w:rsid w:val="007F1E0C"/>
    <w:rsid w:val="008242FF"/>
    <w:rsid w:val="00826235"/>
    <w:rsid w:val="00870751"/>
    <w:rsid w:val="00877CC4"/>
    <w:rsid w:val="008809CE"/>
    <w:rsid w:val="0089527F"/>
    <w:rsid w:val="008A376A"/>
    <w:rsid w:val="008E4349"/>
    <w:rsid w:val="008F2BEA"/>
    <w:rsid w:val="00912F1C"/>
    <w:rsid w:val="00922C48"/>
    <w:rsid w:val="00924729"/>
    <w:rsid w:val="009249CD"/>
    <w:rsid w:val="00940E35"/>
    <w:rsid w:val="0095395B"/>
    <w:rsid w:val="00954A88"/>
    <w:rsid w:val="009834B1"/>
    <w:rsid w:val="009A4A2A"/>
    <w:rsid w:val="009C099B"/>
    <w:rsid w:val="009E1707"/>
    <w:rsid w:val="009E78DF"/>
    <w:rsid w:val="00A24EF3"/>
    <w:rsid w:val="00A3491D"/>
    <w:rsid w:val="00A40D75"/>
    <w:rsid w:val="00A771C6"/>
    <w:rsid w:val="00A815A6"/>
    <w:rsid w:val="00A829C6"/>
    <w:rsid w:val="00A83F97"/>
    <w:rsid w:val="00A918FF"/>
    <w:rsid w:val="00AC6CEE"/>
    <w:rsid w:val="00AD32FD"/>
    <w:rsid w:val="00AD341E"/>
    <w:rsid w:val="00AD6F88"/>
    <w:rsid w:val="00AE399C"/>
    <w:rsid w:val="00B00DBE"/>
    <w:rsid w:val="00B11CF5"/>
    <w:rsid w:val="00B36355"/>
    <w:rsid w:val="00B40C24"/>
    <w:rsid w:val="00B46865"/>
    <w:rsid w:val="00B47711"/>
    <w:rsid w:val="00B57964"/>
    <w:rsid w:val="00B61D03"/>
    <w:rsid w:val="00B73C37"/>
    <w:rsid w:val="00B915B7"/>
    <w:rsid w:val="00B9543B"/>
    <w:rsid w:val="00BB0544"/>
    <w:rsid w:val="00BD7AEA"/>
    <w:rsid w:val="00C04024"/>
    <w:rsid w:val="00C05069"/>
    <w:rsid w:val="00C26D7E"/>
    <w:rsid w:val="00C37C03"/>
    <w:rsid w:val="00C612D4"/>
    <w:rsid w:val="00C72E31"/>
    <w:rsid w:val="00C7527F"/>
    <w:rsid w:val="00CC01EC"/>
    <w:rsid w:val="00D048A0"/>
    <w:rsid w:val="00D1445D"/>
    <w:rsid w:val="00D37ED8"/>
    <w:rsid w:val="00D53E4B"/>
    <w:rsid w:val="00D61290"/>
    <w:rsid w:val="00D76104"/>
    <w:rsid w:val="00D9637D"/>
    <w:rsid w:val="00DF5559"/>
    <w:rsid w:val="00DF774B"/>
    <w:rsid w:val="00DF7833"/>
    <w:rsid w:val="00E235B7"/>
    <w:rsid w:val="00E24041"/>
    <w:rsid w:val="00E25EAB"/>
    <w:rsid w:val="00E37301"/>
    <w:rsid w:val="00E46DF0"/>
    <w:rsid w:val="00E7126A"/>
    <w:rsid w:val="00E73E39"/>
    <w:rsid w:val="00E77DBD"/>
    <w:rsid w:val="00E83A9E"/>
    <w:rsid w:val="00EA3A52"/>
    <w:rsid w:val="00EA5548"/>
    <w:rsid w:val="00EA59DF"/>
    <w:rsid w:val="00EB6A7F"/>
    <w:rsid w:val="00EE4070"/>
    <w:rsid w:val="00EF01BA"/>
    <w:rsid w:val="00F03A0E"/>
    <w:rsid w:val="00F10FE7"/>
    <w:rsid w:val="00F12C76"/>
    <w:rsid w:val="00F2402C"/>
    <w:rsid w:val="00F2476F"/>
    <w:rsid w:val="00F50397"/>
    <w:rsid w:val="00F54C46"/>
    <w:rsid w:val="00F84C18"/>
    <w:rsid w:val="00FA07D7"/>
    <w:rsid w:val="00FA0870"/>
    <w:rsid w:val="00FA10E8"/>
    <w:rsid w:val="00FA4EBA"/>
    <w:rsid w:val="00FC5521"/>
    <w:rsid w:val="00FD1017"/>
    <w:rsid w:val="00FF7B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CE8CB0C-2622-4F78-973B-E64628A01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after="160"/>
    </w:pPr>
    <w:rPr>
      <w:rFonts w:ascii="Times New Roman" w:hAnsi="Times New Roman"/>
      <w:kern w:val="2"/>
      <w:sz w:val="28"/>
      <w:szCs w:val="22"/>
      <w:lang w:eastAsia="en-US"/>
    </w:rPr>
  </w:style>
  <w:style w:type="paragraph" w:styleId="1">
    <w:name w:val="heading 1"/>
    <w:basedOn w:val="a"/>
    <w:next w:val="a"/>
    <w:link w:val="10"/>
    <w:uiPriority w:val="9"/>
    <w:qFormat/>
    <w:rsid w:val="00FC5521"/>
    <w:pPr>
      <w:keepNext/>
      <w:keepLines/>
      <w:spacing w:before="360" w:after="80"/>
      <w:outlineLvl w:val="0"/>
    </w:pPr>
    <w:rPr>
      <w:rFonts w:ascii="Calibri Light" w:eastAsia="Times New Roman" w:hAnsi="Calibri Light"/>
      <w:color w:val="2E74B5"/>
      <w:sz w:val="40"/>
      <w:szCs w:val="40"/>
    </w:rPr>
  </w:style>
  <w:style w:type="paragraph" w:styleId="2">
    <w:name w:val="heading 2"/>
    <w:basedOn w:val="a"/>
    <w:next w:val="a"/>
    <w:link w:val="20"/>
    <w:uiPriority w:val="9"/>
    <w:unhideWhenUsed/>
    <w:qFormat/>
    <w:rsid w:val="00FC5521"/>
    <w:pPr>
      <w:keepNext/>
      <w:keepLines/>
      <w:spacing w:before="160" w:after="80"/>
      <w:outlineLvl w:val="1"/>
    </w:pPr>
    <w:rPr>
      <w:rFonts w:ascii="Calibri Light" w:eastAsia="Times New Roman" w:hAnsi="Calibri Light"/>
      <w:color w:val="2E74B5"/>
      <w:sz w:val="32"/>
      <w:szCs w:val="32"/>
    </w:rPr>
  </w:style>
  <w:style w:type="paragraph" w:styleId="3">
    <w:name w:val="heading 3"/>
    <w:basedOn w:val="a"/>
    <w:next w:val="a"/>
    <w:link w:val="30"/>
    <w:uiPriority w:val="9"/>
    <w:unhideWhenUsed/>
    <w:qFormat/>
    <w:rsid w:val="00FC5521"/>
    <w:pPr>
      <w:keepNext/>
      <w:keepLines/>
      <w:spacing w:before="160" w:after="80"/>
      <w:outlineLvl w:val="2"/>
    </w:pPr>
    <w:rPr>
      <w:rFonts w:ascii="Calibri" w:eastAsia="Times New Roman" w:hAnsi="Calibri"/>
      <w:color w:val="2E74B5"/>
      <w:szCs w:val="28"/>
    </w:rPr>
  </w:style>
  <w:style w:type="paragraph" w:styleId="4">
    <w:name w:val="heading 4"/>
    <w:basedOn w:val="a"/>
    <w:next w:val="a"/>
    <w:link w:val="40"/>
    <w:uiPriority w:val="9"/>
    <w:semiHidden/>
    <w:unhideWhenUsed/>
    <w:qFormat/>
    <w:rsid w:val="00FC5521"/>
    <w:pPr>
      <w:keepNext/>
      <w:keepLines/>
      <w:spacing w:before="80" w:after="40"/>
      <w:outlineLvl w:val="3"/>
    </w:pPr>
    <w:rPr>
      <w:rFonts w:ascii="Calibri" w:eastAsia="Times New Roman" w:hAnsi="Calibri"/>
      <w:i/>
      <w:iCs/>
      <w:color w:val="2E74B5"/>
    </w:rPr>
  </w:style>
  <w:style w:type="paragraph" w:styleId="5">
    <w:name w:val="heading 5"/>
    <w:basedOn w:val="a"/>
    <w:next w:val="a"/>
    <w:link w:val="50"/>
    <w:uiPriority w:val="9"/>
    <w:semiHidden/>
    <w:unhideWhenUsed/>
    <w:qFormat/>
    <w:rsid w:val="00FC5521"/>
    <w:pPr>
      <w:keepNext/>
      <w:keepLines/>
      <w:spacing w:before="80" w:after="40"/>
      <w:outlineLvl w:val="4"/>
    </w:pPr>
    <w:rPr>
      <w:rFonts w:ascii="Calibri" w:eastAsia="Times New Roman" w:hAnsi="Calibri"/>
      <w:color w:val="2E74B5"/>
    </w:rPr>
  </w:style>
  <w:style w:type="paragraph" w:styleId="6">
    <w:name w:val="heading 6"/>
    <w:basedOn w:val="a"/>
    <w:next w:val="a"/>
    <w:link w:val="60"/>
    <w:uiPriority w:val="9"/>
    <w:semiHidden/>
    <w:unhideWhenUsed/>
    <w:qFormat/>
    <w:rsid w:val="00FC5521"/>
    <w:pPr>
      <w:keepNext/>
      <w:keepLines/>
      <w:spacing w:before="40" w:after="0"/>
      <w:outlineLvl w:val="5"/>
    </w:pPr>
    <w:rPr>
      <w:rFonts w:ascii="Calibri" w:eastAsia="Times New Roman" w:hAnsi="Calibri"/>
      <w:i/>
      <w:iCs/>
      <w:color w:val="595959"/>
    </w:rPr>
  </w:style>
  <w:style w:type="paragraph" w:styleId="7">
    <w:name w:val="heading 7"/>
    <w:basedOn w:val="a"/>
    <w:next w:val="a"/>
    <w:link w:val="70"/>
    <w:uiPriority w:val="9"/>
    <w:semiHidden/>
    <w:unhideWhenUsed/>
    <w:qFormat/>
    <w:rsid w:val="00FC5521"/>
    <w:pPr>
      <w:keepNext/>
      <w:keepLines/>
      <w:spacing w:before="40" w:after="0"/>
      <w:outlineLvl w:val="6"/>
    </w:pPr>
    <w:rPr>
      <w:rFonts w:ascii="Calibri" w:eastAsia="Times New Roman" w:hAnsi="Calibri"/>
      <w:color w:val="595959"/>
    </w:rPr>
  </w:style>
  <w:style w:type="paragraph" w:styleId="8">
    <w:name w:val="heading 8"/>
    <w:basedOn w:val="a"/>
    <w:next w:val="a"/>
    <w:link w:val="80"/>
    <w:uiPriority w:val="9"/>
    <w:semiHidden/>
    <w:unhideWhenUsed/>
    <w:qFormat/>
    <w:rsid w:val="00FC5521"/>
    <w:pPr>
      <w:keepNext/>
      <w:keepLines/>
      <w:spacing w:after="0"/>
      <w:outlineLvl w:val="7"/>
    </w:pPr>
    <w:rPr>
      <w:rFonts w:ascii="Calibri" w:eastAsia="Times New Roman" w:hAnsi="Calibri"/>
      <w:i/>
      <w:iCs/>
      <w:color w:val="272727"/>
    </w:rPr>
  </w:style>
  <w:style w:type="paragraph" w:styleId="9">
    <w:name w:val="heading 9"/>
    <w:basedOn w:val="a"/>
    <w:next w:val="a"/>
    <w:link w:val="90"/>
    <w:uiPriority w:val="9"/>
    <w:semiHidden/>
    <w:unhideWhenUsed/>
    <w:qFormat/>
    <w:rsid w:val="00FC5521"/>
    <w:pPr>
      <w:keepNext/>
      <w:keepLines/>
      <w:spacing w:after="0"/>
      <w:outlineLvl w:val="8"/>
    </w:pPr>
    <w:rPr>
      <w:rFonts w:ascii="Calibri" w:eastAsia="Times New Roman" w:hAnsi="Calibri"/>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C5521"/>
    <w:rPr>
      <w:rFonts w:ascii="Calibri Light" w:eastAsia="Times New Roman" w:hAnsi="Calibri Light" w:cs="Times New Roman"/>
      <w:color w:val="2E74B5"/>
      <w:sz w:val="40"/>
      <w:szCs w:val="40"/>
    </w:rPr>
  </w:style>
  <w:style w:type="character" w:customStyle="1" w:styleId="20">
    <w:name w:val="Заголовок 2 Знак"/>
    <w:link w:val="2"/>
    <w:uiPriority w:val="9"/>
    <w:rsid w:val="00FC5521"/>
    <w:rPr>
      <w:rFonts w:ascii="Calibri Light" w:eastAsia="Times New Roman" w:hAnsi="Calibri Light" w:cs="Times New Roman"/>
      <w:color w:val="2E74B5"/>
      <w:sz w:val="32"/>
      <w:szCs w:val="32"/>
    </w:rPr>
  </w:style>
  <w:style w:type="character" w:customStyle="1" w:styleId="30">
    <w:name w:val="Заголовок 3 Знак"/>
    <w:link w:val="3"/>
    <w:uiPriority w:val="9"/>
    <w:rsid w:val="00FC5521"/>
    <w:rPr>
      <w:rFonts w:eastAsia="Times New Roman" w:cs="Times New Roman"/>
      <w:color w:val="2E74B5"/>
      <w:sz w:val="28"/>
      <w:szCs w:val="28"/>
    </w:rPr>
  </w:style>
  <w:style w:type="character" w:customStyle="1" w:styleId="40">
    <w:name w:val="Заголовок 4 Знак"/>
    <w:link w:val="4"/>
    <w:uiPriority w:val="9"/>
    <w:semiHidden/>
    <w:rsid w:val="00FC5521"/>
    <w:rPr>
      <w:rFonts w:eastAsia="Times New Roman" w:cs="Times New Roman"/>
      <w:i/>
      <w:iCs/>
      <w:color w:val="2E74B5"/>
      <w:sz w:val="28"/>
    </w:rPr>
  </w:style>
  <w:style w:type="character" w:customStyle="1" w:styleId="50">
    <w:name w:val="Заголовок 5 Знак"/>
    <w:link w:val="5"/>
    <w:uiPriority w:val="9"/>
    <w:semiHidden/>
    <w:rsid w:val="00FC5521"/>
    <w:rPr>
      <w:rFonts w:eastAsia="Times New Roman" w:cs="Times New Roman"/>
      <w:color w:val="2E74B5"/>
      <w:sz w:val="28"/>
    </w:rPr>
  </w:style>
  <w:style w:type="character" w:customStyle="1" w:styleId="60">
    <w:name w:val="Заголовок 6 Знак"/>
    <w:link w:val="6"/>
    <w:uiPriority w:val="9"/>
    <w:semiHidden/>
    <w:rsid w:val="00FC5521"/>
    <w:rPr>
      <w:rFonts w:eastAsia="Times New Roman" w:cs="Times New Roman"/>
      <w:i/>
      <w:iCs/>
      <w:color w:val="595959"/>
      <w:sz w:val="28"/>
    </w:rPr>
  </w:style>
  <w:style w:type="character" w:customStyle="1" w:styleId="70">
    <w:name w:val="Заголовок 7 Знак"/>
    <w:link w:val="7"/>
    <w:uiPriority w:val="9"/>
    <w:semiHidden/>
    <w:rsid w:val="00FC5521"/>
    <w:rPr>
      <w:rFonts w:eastAsia="Times New Roman" w:cs="Times New Roman"/>
      <w:color w:val="595959"/>
      <w:sz w:val="28"/>
    </w:rPr>
  </w:style>
  <w:style w:type="character" w:customStyle="1" w:styleId="80">
    <w:name w:val="Заголовок 8 Знак"/>
    <w:link w:val="8"/>
    <w:uiPriority w:val="9"/>
    <w:semiHidden/>
    <w:rsid w:val="00FC5521"/>
    <w:rPr>
      <w:rFonts w:eastAsia="Times New Roman" w:cs="Times New Roman"/>
      <w:i/>
      <w:iCs/>
      <w:color w:val="272727"/>
      <w:sz w:val="28"/>
    </w:rPr>
  </w:style>
  <w:style w:type="character" w:customStyle="1" w:styleId="90">
    <w:name w:val="Заголовок 9 Знак"/>
    <w:link w:val="9"/>
    <w:uiPriority w:val="9"/>
    <w:semiHidden/>
    <w:rsid w:val="00FC5521"/>
    <w:rPr>
      <w:rFonts w:eastAsia="Times New Roman" w:cs="Times New Roman"/>
      <w:color w:val="272727"/>
      <w:sz w:val="28"/>
    </w:rPr>
  </w:style>
  <w:style w:type="paragraph" w:customStyle="1" w:styleId="a3">
    <w:name w:val="Заголовок"/>
    <w:basedOn w:val="a"/>
    <w:next w:val="a"/>
    <w:link w:val="a4"/>
    <w:uiPriority w:val="10"/>
    <w:qFormat/>
    <w:rsid w:val="00FC5521"/>
    <w:pPr>
      <w:spacing w:after="80"/>
      <w:contextualSpacing/>
    </w:pPr>
    <w:rPr>
      <w:rFonts w:ascii="Calibri Light" w:eastAsia="Times New Roman" w:hAnsi="Calibri Light"/>
      <w:spacing w:val="-10"/>
      <w:kern w:val="28"/>
      <w:sz w:val="56"/>
      <w:szCs w:val="56"/>
    </w:rPr>
  </w:style>
  <w:style w:type="character" w:customStyle="1" w:styleId="a4">
    <w:name w:val="Заголовок Знак"/>
    <w:link w:val="a3"/>
    <w:uiPriority w:val="10"/>
    <w:rsid w:val="00FC5521"/>
    <w:rPr>
      <w:rFonts w:ascii="Calibri Light" w:eastAsia="Times New Roman" w:hAnsi="Calibri Light" w:cs="Times New Roman"/>
      <w:spacing w:val="-10"/>
      <w:kern w:val="28"/>
      <w:sz w:val="56"/>
      <w:szCs w:val="56"/>
    </w:rPr>
  </w:style>
  <w:style w:type="paragraph" w:styleId="a5">
    <w:name w:val="Subtitle"/>
    <w:basedOn w:val="a"/>
    <w:next w:val="a"/>
    <w:link w:val="a6"/>
    <w:uiPriority w:val="11"/>
    <w:qFormat/>
    <w:rsid w:val="00FC5521"/>
    <w:pPr>
      <w:numPr>
        <w:ilvl w:val="1"/>
      </w:numPr>
    </w:pPr>
    <w:rPr>
      <w:rFonts w:ascii="Calibri" w:eastAsia="Times New Roman" w:hAnsi="Calibri"/>
      <w:color w:val="595959"/>
      <w:spacing w:val="15"/>
      <w:szCs w:val="28"/>
    </w:rPr>
  </w:style>
  <w:style w:type="character" w:customStyle="1" w:styleId="a6">
    <w:name w:val="Подзаголовок Знак"/>
    <w:link w:val="a5"/>
    <w:uiPriority w:val="11"/>
    <w:rsid w:val="00FC5521"/>
    <w:rPr>
      <w:rFonts w:eastAsia="Times New Roman" w:cs="Times New Roman"/>
      <w:color w:val="595959"/>
      <w:spacing w:val="15"/>
      <w:sz w:val="28"/>
      <w:szCs w:val="28"/>
    </w:rPr>
  </w:style>
  <w:style w:type="paragraph" w:styleId="21">
    <w:name w:val="Quote"/>
    <w:basedOn w:val="a"/>
    <w:next w:val="a"/>
    <w:link w:val="22"/>
    <w:uiPriority w:val="29"/>
    <w:qFormat/>
    <w:rsid w:val="00FC5521"/>
    <w:pPr>
      <w:spacing w:before="160"/>
      <w:jc w:val="center"/>
    </w:pPr>
    <w:rPr>
      <w:i/>
      <w:iCs/>
      <w:color w:val="404040"/>
    </w:rPr>
  </w:style>
  <w:style w:type="character" w:customStyle="1" w:styleId="22">
    <w:name w:val="Цитата 2 Знак"/>
    <w:link w:val="21"/>
    <w:uiPriority w:val="29"/>
    <w:rsid w:val="00FC5521"/>
    <w:rPr>
      <w:rFonts w:ascii="Times New Roman" w:hAnsi="Times New Roman"/>
      <w:i/>
      <w:iCs/>
      <w:color w:val="404040"/>
      <w:sz w:val="28"/>
    </w:rPr>
  </w:style>
  <w:style w:type="paragraph" w:styleId="a7">
    <w:name w:val="List Paragraph"/>
    <w:aliases w:val="ПАРАГРАФ,Абзац списка для документа,List Paragraph1,название,Bullet Points,Listenabsatz1,Bullet List Paragraph,Level 1 Bullet,Subtítulo tabela,Resume Title,Заголовок 41,Citation List,Liste Paragraf,List Bullet-OpsManual,Ha,Bullet OFM"/>
    <w:basedOn w:val="a"/>
    <w:link w:val="a8"/>
    <w:uiPriority w:val="34"/>
    <w:qFormat/>
    <w:rsid w:val="00FC5521"/>
    <w:pPr>
      <w:ind w:left="720"/>
      <w:contextualSpacing/>
    </w:pPr>
  </w:style>
  <w:style w:type="character" w:styleId="a9">
    <w:name w:val="Intense Emphasis"/>
    <w:uiPriority w:val="21"/>
    <w:qFormat/>
    <w:rsid w:val="00FC5521"/>
    <w:rPr>
      <w:i/>
      <w:iCs/>
      <w:color w:val="2E74B5"/>
    </w:rPr>
  </w:style>
  <w:style w:type="paragraph" w:styleId="aa">
    <w:name w:val="Intense Quote"/>
    <w:basedOn w:val="a"/>
    <w:next w:val="a"/>
    <w:link w:val="ab"/>
    <w:uiPriority w:val="30"/>
    <w:qFormat/>
    <w:rsid w:val="00FC5521"/>
    <w:pPr>
      <w:pBdr>
        <w:top w:val="single" w:sz="4" w:space="10" w:color="2E74B5"/>
        <w:bottom w:val="single" w:sz="4" w:space="10" w:color="2E74B5"/>
      </w:pBdr>
      <w:spacing w:before="360" w:after="360"/>
      <w:ind w:left="864" w:right="864"/>
      <w:jc w:val="center"/>
    </w:pPr>
    <w:rPr>
      <w:i/>
      <w:iCs/>
      <w:color w:val="2E74B5"/>
    </w:rPr>
  </w:style>
  <w:style w:type="character" w:customStyle="1" w:styleId="ab">
    <w:name w:val="Выделенная цитата Знак"/>
    <w:link w:val="aa"/>
    <w:uiPriority w:val="30"/>
    <w:rsid w:val="00FC5521"/>
    <w:rPr>
      <w:rFonts w:ascii="Times New Roman" w:hAnsi="Times New Roman"/>
      <w:i/>
      <w:iCs/>
      <w:color w:val="2E74B5"/>
      <w:sz w:val="28"/>
    </w:rPr>
  </w:style>
  <w:style w:type="character" w:styleId="ac">
    <w:name w:val="Intense Reference"/>
    <w:uiPriority w:val="32"/>
    <w:qFormat/>
    <w:rsid w:val="00FC5521"/>
    <w:rPr>
      <w:b/>
      <w:bCs/>
      <w:smallCaps/>
      <w:color w:val="2E74B5"/>
      <w:spacing w:val="5"/>
    </w:rPr>
  </w:style>
  <w:style w:type="paragraph" w:styleId="ad">
    <w:name w:val="footnote text"/>
    <w:aliases w:val="Текст сноски Знак Знак Знак,Текст сноски Знак Знак,Текст сноски Знак1,Текст сноски Знак1 Знак Знак,Текст сноски Знак Знак Знак Знак,single space Знак Знак Знак Знак,footnote text Знак Знак Знак Знак,ft Знак Знак Знак Знак,ft,ft2,single sp"/>
    <w:basedOn w:val="a"/>
    <w:link w:val="ae"/>
    <w:unhideWhenUsed/>
    <w:qFormat/>
    <w:rsid w:val="0079280C"/>
    <w:pPr>
      <w:spacing w:after="0"/>
    </w:pPr>
    <w:rPr>
      <w:sz w:val="20"/>
      <w:szCs w:val="20"/>
    </w:rPr>
  </w:style>
  <w:style w:type="character" w:customStyle="1" w:styleId="ae">
    <w:name w:val="Текст сноски Знак"/>
    <w:aliases w:val="Текст сноски Знак Знак Знак Знак1,Текст сноски Знак Знак Знак1,Текст сноски Знак1 Знак,Текст сноски Знак1 Знак Знак Знак,Текст сноски Знак Знак Знак Знак Знак,single space Знак Знак Знак Знак Знак,footnote text Знак Знак Знак Знак Знак"/>
    <w:link w:val="ad"/>
    <w:uiPriority w:val="99"/>
    <w:qFormat/>
    <w:rsid w:val="0079280C"/>
    <w:rPr>
      <w:rFonts w:ascii="Times New Roman" w:hAnsi="Times New Roman"/>
      <w:sz w:val="20"/>
      <w:szCs w:val="20"/>
    </w:rPr>
  </w:style>
  <w:style w:type="character" w:styleId="af">
    <w:name w:val="Hyperlink"/>
    <w:uiPriority w:val="99"/>
    <w:unhideWhenUsed/>
    <w:rsid w:val="0079280C"/>
    <w:rPr>
      <w:color w:val="0000FF"/>
      <w:u w:val="single"/>
    </w:rPr>
  </w:style>
  <w:style w:type="character" w:styleId="af0">
    <w:name w:val="footnote reference"/>
    <w:aliases w:val="ftref,16 Point,Superscript 6 Point,Знак сноски-FN,Footnote Reference Number,Appel note de bas de p,Footnote Reference/,Мой Текст сноски,FZ,Footnote Text Char11,Footnote Text Char111,Текст сноски-FN Char1,Знак Знак Char1,R"/>
    <w:uiPriority w:val="99"/>
    <w:unhideWhenUsed/>
    <w:qFormat/>
    <w:rsid w:val="0079280C"/>
    <w:rPr>
      <w:vertAlign w:val="superscript"/>
    </w:rPr>
  </w:style>
  <w:style w:type="paragraph" w:styleId="af1">
    <w:name w:val="endnote text"/>
    <w:basedOn w:val="a"/>
    <w:link w:val="af2"/>
    <w:uiPriority w:val="99"/>
    <w:semiHidden/>
    <w:unhideWhenUsed/>
    <w:rsid w:val="00D37ED8"/>
    <w:pPr>
      <w:spacing w:after="0"/>
    </w:pPr>
    <w:rPr>
      <w:sz w:val="20"/>
      <w:szCs w:val="20"/>
    </w:rPr>
  </w:style>
  <w:style w:type="character" w:customStyle="1" w:styleId="af2">
    <w:name w:val="Текст концевой сноски Знак"/>
    <w:link w:val="af1"/>
    <w:uiPriority w:val="99"/>
    <w:semiHidden/>
    <w:rsid w:val="00D37ED8"/>
    <w:rPr>
      <w:rFonts w:ascii="Times New Roman" w:hAnsi="Times New Roman"/>
      <w:sz w:val="20"/>
      <w:szCs w:val="20"/>
    </w:rPr>
  </w:style>
  <w:style w:type="character" w:styleId="af3">
    <w:name w:val="endnote reference"/>
    <w:uiPriority w:val="99"/>
    <w:semiHidden/>
    <w:unhideWhenUsed/>
    <w:rsid w:val="00D37ED8"/>
    <w:rPr>
      <w:vertAlign w:val="superscript"/>
    </w:rPr>
  </w:style>
  <w:style w:type="paragraph" w:styleId="af4">
    <w:name w:val="header"/>
    <w:basedOn w:val="a"/>
    <w:link w:val="af5"/>
    <w:uiPriority w:val="99"/>
    <w:unhideWhenUsed/>
    <w:rsid w:val="00A815A6"/>
    <w:pPr>
      <w:tabs>
        <w:tab w:val="center" w:pos="4513"/>
        <w:tab w:val="right" w:pos="9026"/>
      </w:tabs>
      <w:spacing w:after="200" w:line="276" w:lineRule="auto"/>
    </w:pPr>
    <w:rPr>
      <w:rFonts w:ascii="Calibri" w:hAnsi="Calibri"/>
      <w:kern w:val="0"/>
      <w:sz w:val="22"/>
    </w:rPr>
  </w:style>
  <w:style w:type="character" w:customStyle="1" w:styleId="af5">
    <w:name w:val="Верхний колонтитул Знак"/>
    <w:link w:val="af4"/>
    <w:uiPriority w:val="99"/>
    <w:rsid w:val="00A815A6"/>
    <w:rPr>
      <w:rFonts w:ascii="Calibri" w:eastAsia="Calibri" w:hAnsi="Calibri" w:cs="Times New Roman"/>
      <w:kern w:val="0"/>
    </w:rPr>
  </w:style>
  <w:style w:type="paragraph" w:styleId="af6">
    <w:name w:val="footer"/>
    <w:basedOn w:val="a"/>
    <w:link w:val="af7"/>
    <w:uiPriority w:val="99"/>
    <w:unhideWhenUsed/>
    <w:rsid w:val="00A815A6"/>
    <w:pPr>
      <w:tabs>
        <w:tab w:val="center" w:pos="4513"/>
        <w:tab w:val="right" w:pos="9026"/>
      </w:tabs>
      <w:spacing w:after="200" w:line="276" w:lineRule="auto"/>
    </w:pPr>
    <w:rPr>
      <w:rFonts w:ascii="Calibri" w:hAnsi="Calibri"/>
      <w:kern w:val="0"/>
      <w:sz w:val="22"/>
    </w:rPr>
  </w:style>
  <w:style w:type="character" w:customStyle="1" w:styleId="af7">
    <w:name w:val="Нижний колонтитул Знак"/>
    <w:link w:val="af6"/>
    <w:uiPriority w:val="99"/>
    <w:rsid w:val="00A815A6"/>
    <w:rPr>
      <w:rFonts w:ascii="Calibri" w:eastAsia="Calibri" w:hAnsi="Calibri" w:cs="Times New Roman"/>
      <w:kern w:val="0"/>
    </w:rPr>
  </w:style>
  <w:style w:type="table" w:styleId="af8">
    <w:name w:val="Table Grid"/>
    <w:basedOn w:val="a1"/>
    <w:uiPriority w:val="39"/>
    <w:rsid w:val="00A815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2"/>
    <w:rsid w:val="00A815A6"/>
    <w:pPr>
      <w:spacing w:after="120"/>
      <w:ind w:left="283"/>
    </w:pPr>
    <w:rPr>
      <w:rFonts w:ascii="Times Uzb Roman" w:eastAsia="Times New Roman" w:hAnsi="Times Uzb Roman"/>
      <w:kern w:val="0"/>
      <w:sz w:val="16"/>
      <w:szCs w:val="16"/>
      <w:lang w:eastAsia="ru-RU"/>
    </w:rPr>
  </w:style>
  <w:style w:type="character" w:customStyle="1" w:styleId="32">
    <w:name w:val="Основной текст с отступом 3 Знак"/>
    <w:link w:val="31"/>
    <w:rsid w:val="00A815A6"/>
    <w:rPr>
      <w:rFonts w:ascii="Times Uzb Roman" w:eastAsia="Times New Roman" w:hAnsi="Times Uzb Roman" w:cs="Times New Roman"/>
      <w:kern w:val="0"/>
      <w:sz w:val="16"/>
      <w:szCs w:val="16"/>
      <w:lang w:val="ru" w:eastAsia="ru-RU"/>
    </w:rPr>
  </w:style>
  <w:style w:type="paragraph" w:styleId="af9">
    <w:name w:val="No Spacing"/>
    <w:link w:val="afa"/>
    <w:uiPriority w:val="1"/>
    <w:qFormat/>
    <w:rsid w:val="00A815A6"/>
    <w:rPr>
      <w:sz w:val="22"/>
      <w:szCs w:val="22"/>
      <w:lang w:eastAsia="en-US"/>
    </w:rPr>
  </w:style>
  <w:style w:type="paragraph" w:styleId="afb">
    <w:name w:val="Body Text"/>
    <w:basedOn w:val="a"/>
    <w:link w:val="afc"/>
    <w:uiPriority w:val="99"/>
    <w:unhideWhenUsed/>
    <w:rsid w:val="00A815A6"/>
    <w:pPr>
      <w:spacing w:after="120" w:line="276" w:lineRule="auto"/>
    </w:pPr>
    <w:rPr>
      <w:rFonts w:ascii="Calibri" w:hAnsi="Calibri"/>
      <w:kern w:val="0"/>
      <w:sz w:val="22"/>
    </w:rPr>
  </w:style>
  <w:style w:type="character" w:customStyle="1" w:styleId="afc">
    <w:name w:val="Основной текст Знак"/>
    <w:link w:val="afb"/>
    <w:uiPriority w:val="99"/>
    <w:rsid w:val="00A815A6"/>
    <w:rPr>
      <w:rFonts w:ascii="Calibri" w:eastAsia="Calibri" w:hAnsi="Calibri" w:cs="Times New Roman"/>
      <w:kern w:val="0"/>
    </w:rPr>
  </w:style>
  <w:style w:type="character" w:customStyle="1" w:styleId="afa">
    <w:name w:val="Без интервала Знак"/>
    <w:link w:val="af9"/>
    <w:uiPriority w:val="1"/>
    <w:locked/>
    <w:rsid w:val="00A815A6"/>
    <w:rPr>
      <w:rFonts w:ascii="Calibri" w:eastAsia="Calibri" w:hAnsi="Calibri" w:cs="Times New Roman"/>
      <w:kern w:val="0"/>
    </w:rPr>
  </w:style>
  <w:style w:type="paragraph" w:customStyle="1" w:styleId="afd">
    <w:basedOn w:val="a"/>
    <w:next w:val="afe"/>
    <w:uiPriority w:val="99"/>
    <w:unhideWhenUsed/>
    <w:rsid w:val="00A815A6"/>
    <w:pPr>
      <w:spacing w:before="100" w:beforeAutospacing="1" w:after="100" w:afterAutospacing="1"/>
    </w:pPr>
    <w:rPr>
      <w:rFonts w:eastAsia="Times New Roman"/>
      <w:kern w:val="0"/>
      <w:sz w:val="24"/>
      <w:szCs w:val="24"/>
      <w:lang w:eastAsia="ru-RU"/>
    </w:rPr>
  </w:style>
  <w:style w:type="paragraph" w:customStyle="1" w:styleId="Default">
    <w:name w:val="Default"/>
    <w:rsid w:val="00A815A6"/>
    <w:pPr>
      <w:autoSpaceDE w:val="0"/>
      <w:autoSpaceDN w:val="0"/>
      <w:adjustRightInd w:val="0"/>
    </w:pPr>
    <w:rPr>
      <w:rFonts w:ascii="NewtonC" w:hAnsi="NewtonC" w:cs="NewtonC"/>
      <w:color w:val="000000"/>
      <w:sz w:val="24"/>
      <w:szCs w:val="24"/>
    </w:rPr>
  </w:style>
  <w:style w:type="paragraph" w:customStyle="1" w:styleId="Pa9">
    <w:name w:val="Pa9"/>
    <w:basedOn w:val="Default"/>
    <w:next w:val="Default"/>
    <w:uiPriority w:val="99"/>
    <w:rsid w:val="00A815A6"/>
    <w:pPr>
      <w:spacing w:line="361" w:lineRule="atLeast"/>
    </w:pPr>
    <w:rPr>
      <w:rFonts w:cs="Times New Roman"/>
      <w:color w:val="auto"/>
    </w:rPr>
  </w:style>
  <w:style w:type="paragraph" w:customStyle="1" w:styleId="URGENT1">
    <w:name w:val="URGENT 1"/>
    <w:rsid w:val="00A815A6"/>
    <w:pPr>
      <w:tabs>
        <w:tab w:val="center" w:pos="4680"/>
        <w:tab w:val="right" w:pos="9360"/>
      </w:tabs>
    </w:pPr>
    <w:rPr>
      <w:rFonts w:eastAsia="Times New Roman"/>
      <w:sz w:val="22"/>
      <w:szCs w:val="22"/>
    </w:rPr>
  </w:style>
  <w:style w:type="table" w:customStyle="1" w:styleId="TableNormal1">
    <w:name w:val="Table Normal1"/>
    <w:uiPriority w:val="2"/>
    <w:semiHidden/>
    <w:unhideWhenUsed/>
    <w:qFormat/>
    <w:rsid w:val="00A815A6"/>
    <w:pPr>
      <w:widowControl w:val="0"/>
      <w:autoSpaceDE w:val="0"/>
      <w:autoSpaceDN w:val="0"/>
    </w:pPr>
    <w:rPr>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815A6"/>
    <w:pPr>
      <w:widowControl w:val="0"/>
      <w:autoSpaceDE w:val="0"/>
      <w:autoSpaceDN w:val="0"/>
      <w:spacing w:after="0"/>
      <w:jc w:val="center"/>
    </w:pPr>
    <w:rPr>
      <w:rFonts w:eastAsia="Times New Roman"/>
      <w:kern w:val="0"/>
      <w:sz w:val="22"/>
    </w:rPr>
  </w:style>
  <w:style w:type="character" w:styleId="aff">
    <w:name w:val="annotation reference"/>
    <w:uiPriority w:val="99"/>
    <w:semiHidden/>
    <w:unhideWhenUsed/>
    <w:rsid w:val="00A815A6"/>
    <w:rPr>
      <w:sz w:val="16"/>
      <w:szCs w:val="16"/>
    </w:rPr>
  </w:style>
  <w:style w:type="paragraph" w:styleId="aff0">
    <w:name w:val="annotation text"/>
    <w:basedOn w:val="a"/>
    <w:link w:val="aff1"/>
    <w:uiPriority w:val="99"/>
    <w:semiHidden/>
    <w:unhideWhenUsed/>
    <w:rsid w:val="00A815A6"/>
    <w:pPr>
      <w:spacing w:after="200" w:line="276" w:lineRule="auto"/>
    </w:pPr>
    <w:rPr>
      <w:rFonts w:ascii="Calibri" w:hAnsi="Calibri"/>
      <w:kern w:val="0"/>
      <w:sz w:val="20"/>
      <w:szCs w:val="20"/>
    </w:rPr>
  </w:style>
  <w:style w:type="character" w:customStyle="1" w:styleId="aff1">
    <w:name w:val="Текст примечания Знак"/>
    <w:link w:val="aff0"/>
    <w:uiPriority w:val="99"/>
    <w:semiHidden/>
    <w:rsid w:val="00A815A6"/>
    <w:rPr>
      <w:rFonts w:ascii="Calibri" w:eastAsia="Calibri" w:hAnsi="Calibri" w:cs="Times New Roman"/>
      <w:kern w:val="0"/>
      <w:sz w:val="20"/>
      <w:szCs w:val="20"/>
    </w:rPr>
  </w:style>
  <w:style w:type="paragraph" w:styleId="aff2">
    <w:name w:val="annotation subject"/>
    <w:basedOn w:val="aff0"/>
    <w:next w:val="aff0"/>
    <w:link w:val="aff3"/>
    <w:uiPriority w:val="99"/>
    <w:semiHidden/>
    <w:unhideWhenUsed/>
    <w:rsid w:val="00A815A6"/>
    <w:rPr>
      <w:b/>
      <w:bCs/>
    </w:rPr>
  </w:style>
  <w:style w:type="character" w:customStyle="1" w:styleId="aff3">
    <w:name w:val="Тема примечания Знак"/>
    <w:link w:val="aff2"/>
    <w:uiPriority w:val="99"/>
    <w:semiHidden/>
    <w:rsid w:val="00A815A6"/>
    <w:rPr>
      <w:rFonts w:ascii="Calibri" w:eastAsia="Calibri" w:hAnsi="Calibri" w:cs="Times New Roman"/>
      <w:b/>
      <w:bCs/>
      <w:kern w:val="0"/>
      <w:sz w:val="20"/>
      <w:szCs w:val="20"/>
    </w:rPr>
  </w:style>
  <w:style w:type="paragraph" w:styleId="aff4">
    <w:name w:val="Balloon Text"/>
    <w:basedOn w:val="a"/>
    <w:link w:val="aff5"/>
    <w:uiPriority w:val="99"/>
    <w:semiHidden/>
    <w:unhideWhenUsed/>
    <w:rsid w:val="00A815A6"/>
    <w:pPr>
      <w:spacing w:after="0"/>
    </w:pPr>
    <w:rPr>
      <w:rFonts w:ascii="Segoe UI" w:hAnsi="Segoe UI" w:cs="Segoe UI"/>
      <w:kern w:val="0"/>
      <w:sz w:val="18"/>
      <w:szCs w:val="18"/>
    </w:rPr>
  </w:style>
  <w:style w:type="character" w:customStyle="1" w:styleId="aff5">
    <w:name w:val="Текст выноски Знак"/>
    <w:link w:val="aff4"/>
    <w:uiPriority w:val="99"/>
    <w:semiHidden/>
    <w:rsid w:val="00A815A6"/>
    <w:rPr>
      <w:rFonts w:ascii="Segoe UI" w:eastAsia="Calibri" w:hAnsi="Segoe UI" w:cs="Segoe UI"/>
      <w:kern w:val="0"/>
      <w:sz w:val="18"/>
      <w:szCs w:val="18"/>
    </w:rPr>
  </w:style>
  <w:style w:type="table" w:customStyle="1" w:styleId="TableNormal10">
    <w:name w:val="Table Normal1"/>
    <w:uiPriority w:val="2"/>
    <w:semiHidden/>
    <w:unhideWhenUsed/>
    <w:qFormat/>
    <w:rsid w:val="00A815A6"/>
    <w:pPr>
      <w:widowControl w:val="0"/>
      <w:autoSpaceDE w:val="0"/>
      <w:autoSpaceDN w:val="0"/>
    </w:pPr>
    <w:rPr>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A815A6"/>
    <w:pPr>
      <w:widowControl w:val="0"/>
      <w:autoSpaceDE w:val="0"/>
      <w:autoSpaceDN w:val="0"/>
    </w:pPr>
    <w:rPr>
      <w:sz w:val="22"/>
      <w:szCs w:val="22"/>
      <w:lang w:eastAsia="en-US"/>
    </w:rPr>
    <w:tblPr>
      <w:tblInd w:w="0" w:type="dxa"/>
      <w:tblCellMar>
        <w:top w:w="0" w:type="dxa"/>
        <w:left w:w="0" w:type="dxa"/>
        <w:bottom w:w="0" w:type="dxa"/>
        <w:right w:w="0" w:type="dxa"/>
      </w:tblCellMar>
    </w:tblPr>
  </w:style>
  <w:style w:type="character" w:styleId="aff6">
    <w:name w:val="FollowedHyperlink"/>
    <w:uiPriority w:val="99"/>
    <w:semiHidden/>
    <w:unhideWhenUsed/>
    <w:rsid w:val="00A815A6"/>
    <w:rPr>
      <w:color w:val="954F72"/>
      <w:u w:val="single"/>
    </w:rPr>
  </w:style>
  <w:style w:type="table" w:styleId="-3">
    <w:name w:val="Light List Accent 3"/>
    <w:basedOn w:val="a1"/>
    <w:uiPriority w:val="61"/>
    <w:rsid w:val="00A815A6"/>
    <w:rPr>
      <w:rFonts w:eastAsia="Times New Roman"/>
    </w:rPr>
    <w:tblPr>
      <w:tblStyleRowBandSize w:val="1"/>
      <w:tblStyleColBandSize w:val="1"/>
      <w:tblInd w:w="0" w:type="dxa"/>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TableGridLight1">
    <w:name w:val="Table Grid Light1"/>
    <w:basedOn w:val="a1"/>
    <w:uiPriority w:val="40"/>
    <w:rsid w:val="00A815A6"/>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11">
    <w:name w:val="Plain Table 11"/>
    <w:basedOn w:val="a1"/>
    <w:uiPriority w:val="41"/>
    <w:rsid w:val="00A815A6"/>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a1"/>
    <w:uiPriority w:val="42"/>
    <w:rsid w:val="00A815A6"/>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a1"/>
    <w:uiPriority w:val="43"/>
    <w:rsid w:val="00A815A6"/>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a1"/>
    <w:uiPriority w:val="45"/>
    <w:rsid w:val="00A815A6"/>
    <w:tblPr>
      <w:tblStyleRowBandSize w:val="1"/>
      <w:tblStyleColBandSize w:val="1"/>
      <w:tblInd w:w="0" w:type="dxa"/>
      <w:tblCellMar>
        <w:top w:w="0" w:type="dxa"/>
        <w:left w:w="108" w:type="dxa"/>
        <w:bottom w:w="0" w:type="dxa"/>
        <w:right w:w="108" w:type="dxa"/>
      </w:tblCellMar>
    </w:tblPr>
    <w:tblStylePr w:type="firstRow">
      <w:rPr>
        <w:rFonts w:ascii="Segoe UI" w:eastAsia="Times New Roman" w:hAnsi="Segoe UI" w:cs="Times New Roman"/>
        <w:i/>
        <w:iCs/>
        <w:sz w:val="26"/>
      </w:rPr>
      <w:tblPr/>
      <w:tcPr>
        <w:tcBorders>
          <w:bottom w:val="single" w:sz="4" w:space="0" w:color="7F7F7F"/>
        </w:tcBorders>
        <w:shd w:val="clear" w:color="auto" w:fill="FFFFFF"/>
      </w:tcPr>
    </w:tblStylePr>
    <w:tblStylePr w:type="lastRow">
      <w:rPr>
        <w:rFonts w:ascii="Segoe UI" w:eastAsia="Times New Roman" w:hAnsi="Segoe UI" w:cs="Times New Roman"/>
        <w:i/>
        <w:iCs/>
        <w:sz w:val="26"/>
      </w:rPr>
      <w:tblPr/>
      <w:tcPr>
        <w:tcBorders>
          <w:top w:val="single" w:sz="4" w:space="0" w:color="7F7F7F"/>
        </w:tcBorders>
        <w:shd w:val="clear" w:color="auto" w:fill="FFFFFF"/>
      </w:tcPr>
    </w:tblStylePr>
    <w:tblStylePr w:type="firstCol">
      <w:pPr>
        <w:jc w:val="right"/>
      </w:pPr>
      <w:rPr>
        <w:rFonts w:ascii="Segoe UI" w:eastAsia="Times New Roman" w:hAnsi="Segoe UI" w:cs="Times New Roman"/>
        <w:i/>
        <w:iCs/>
        <w:sz w:val="26"/>
      </w:rPr>
      <w:tblPr/>
      <w:tcPr>
        <w:tcBorders>
          <w:right w:val="single" w:sz="4" w:space="0" w:color="7F7F7F"/>
        </w:tcBorders>
        <w:shd w:val="clear" w:color="auto" w:fill="FFFFFF"/>
      </w:tcPr>
    </w:tblStylePr>
    <w:tblStylePr w:type="lastCol">
      <w:rPr>
        <w:rFonts w:ascii="Segoe UI" w:eastAsia="Times New Roman" w:hAnsi="Segoe U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11">
    <w:name w:val="Основной текст1"/>
    <w:rsid w:val="00A815A6"/>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eastAsia="ru-RU" w:bidi="ru-RU"/>
    </w:rPr>
  </w:style>
  <w:style w:type="character" w:customStyle="1" w:styleId="0pt">
    <w:name w:val="Сноска + Не полужирный;Курсив;Малые прописные;Интервал 0 pt"/>
    <w:rsid w:val="00A815A6"/>
    <w:rPr>
      <w:rFonts w:ascii="Times New Roman" w:eastAsia="Times New Roman" w:hAnsi="Times New Roman" w:cs="Times New Roman"/>
      <w:b/>
      <w:bCs/>
      <w:i/>
      <w:iCs/>
      <w:smallCaps/>
      <w:strike w:val="0"/>
      <w:color w:val="000000"/>
      <w:spacing w:val="-10"/>
      <w:w w:val="100"/>
      <w:position w:val="0"/>
      <w:sz w:val="22"/>
      <w:szCs w:val="22"/>
      <w:u w:val="none"/>
      <w:lang w:val="ru" w:eastAsia="ru-RU" w:bidi="ru-RU"/>
    </w:rPr>
  </w:style>
  <w:style w:type="character" w:customStyle="1" w:styleId="aff7">
    <w:name w:val="Сноска"/>
    <w:rsid w:val="00A815A6"/>
    <w:rPr>
      <w:rFonts w:ascii="Times New Roman" w:eastAsia="Times New Roman" w:hAnsi="Times New Roman" w:cs="Times New Roman"/>
      <w:b/>
      <w:bCs/>
      <w:i w:val="0"/>
      <w:iCs w:val="0"/>
      <w:smallCaps w:val="0"/>
      <w:strike w:val="0"/>
      <w:color w:val="000000"/>
      <w:spacing w:val="0"/>
      <w:w w:val="100"/>
      <w:position w:val="0"/>
      <w:sz w:val="22"/>
      <w:szCs w:val="22"/>
      <w:u w:val="none"/>
      <w:lang w:val="ru" w:eastAsia="ru-RU" w:bidi="ru-RU"/>
    </w:rPr>
  </w:style>
  <w:style w:type="character" w:customStyle="1" w:styleId="aff8">
    <w:name w:val="Основной текст_"/>
    <w:link w:val="41"/>
    <w:rsid w:val="00A815A6"/>
    <w:rPr>
      <w:rFonts w:ascii="Times New Roman" w:eastAsia="Times New Roman" w:hAnsi="Times New Roman"/>
      <w:sz w:val="26"/>
      <w:szCs w:val="26"/>
      <w:shd w:val="clear" w:color="auto" w:fill="FFFFFF"/>
    </w:rPr>
  </w:style>
  <w:style w:type="paragraph" w:customStyle="1" w:styleId="41">
    <w:name w:val="Основной текст4"/>
    <w:basedOn w:val="a"/>
    <w:link w:val="aff8"/>
    <w:rsid w:val="00A815A6"/>
    <w:pPr>
      <w:widowControl w:val="0"/>
      <w:shd w:val="clear" w:color="auto" w:fill="FFFFFF"/>
      <w:spacing w:before="660" w:after="0" w:line="322" w:lineRule="exact"/>
      <w:jc w:val="both"/>
    </w:pPr>
    <w:rPr>
      <w:rFonts w:eastAsia="Times New Roman"/>
      <w:sz w:val="26"/>
      <w:szCs w:val="26"/>
    </w:rPr>
  </w:style>
  <w:style w:type="numbering" w:customStyle="1" w:styleId="12">
    <w:name w:val="Нет списка1"/>
    <w:next w:val="a2"/>
    <w:uiPriority w:val="99"/>
    <w:semiHidden/>
    <w:unhideWhenUsed/>
    <w:rsid w:val="00A815A6"/>
  </w:style>
  <w:style w:type="table" w:customStyle="1" w:styleId="210">
    <w:name w:val="Таблица простая 21"/>
    <w:basedOn w:val="a1"/>
    <w:next w:val="PlainTable21"/>
    <w:uiPriority w:val="42"/>
    <w:rsid w:val="00A815A6"/>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1Light-Accent11">
    <w:name w:val="Grid Table 1 Light - Accent 11"/>
    <w:basedOn w:val="a1"/>
    <w:uiPriority w:val="46"/>
    <w:rsid w:val="00A815A6"/>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4-Accent21">
    <w:name w:val="Grid Table 4 - Accent 21"/>
    <w:basedOn w:val="a1"/>
    <w:uiPriority w:val="49"/>
    <w:rsid w:val="00A815A6"/>
    <w:tblPr>
      <w:tblStyleRowBandSize w:val="1"/>
      <w:tblStyleColBandSize w:val="1"/>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51">
    <w:name w:val="Grid Table 4 - Accent 51"/>
    <w:basedOn w:val="a1"/>
    <w:uiPriority w:val="49"/>
    <w:rsid w:val="00A815A6"/>
    <w:tblPr>
      <w:tblStyleRowBandSize w:val="1"/>
      <w:tblStyleColBandSize w:val="1"/>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41">
    <w:name w:val="Grid Table 4 - Accent 41"/>
    <w:basedOn w:val="a1"/>
    <w:uiPriority w:val="49"/>
    <w:rsid w:val="00A815A6"/>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31">
    <w:name w:val="Grid Table 4 - Accent 31"/>
    <w:basedOn w:val="a1"/>
    <w:uiPriority w:val="49"/>
    <w:rsid w:val="00A815A6"/>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11">
    <w:name w:val="Grid Table 5 Dark - Accent 11"/>
    <w:basedOn w:val="a1"/>
    <w:uiPriority w:val="50"/>
    <w:rsid w:val="00A815A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4-Accent11">
    <w:name w:val="Grid Table 4 - Accent 11"/>
    <w:basedOn w:val="a1"/>
    <w:uiPriority w:val="49"/>
    <w:rsid w:val="00A815A6"/>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Normal3">
    <w:name w:val="Table Normal3"/>
    <w:uiPriority w:val="2"/>
    <w:semiHidden/>
    <w:unhideWhenUsed/>
    <w:qFormat/>
    <w:rsid w:val="00A815A6"/>
    <w:pPr>
      <w:widowControl w:val="0"/>
      <w:autoSpaceDE w:val="0"/>
      <w:autoSpaceDN w:val="0"/>
    </w:pPr>
    <w:rPr>
      <w:sz w:val="22"/>
      <w:szCs w:val="22"/>
      <w:lang w:eastAsia="en-US"/>
    </w:rPr>
    <w:tblPr>
      <w:tblInd w:w="0" w:type="dxa"/>
      <w:tblCellMar>
        <w:top w:w="0" w:type="dxa"/>
        <w:left w:w="0" w:type="dxa"/>
        <w:bottom w:w="0" w:type="dxa"/>
        <w:right w:w="0" w:type="dxa"/>
      </w:tblCellMar>
    </w:tblPr>
  </w:style>
  <w:style w:type="table" w:customStyle="1" w:styleId="13">
    <w:name w:val="Сетка таблицы1"/>
    <w:basedOn w:val="a1"/>
    <w:next w:val="af8"/>
    <w:uiPriority w:val="39"/>
    <w:rsid w:val="00A815A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9">
    <w:name w:val="Strong"/>
    <w:uiPriority w:val="22"/>
    <w:qFormat/>
    <w:rsid w:val="00A815A6"/>
    <w:rPr>
      <w:b/>
      <w:bCs/>
    </w:rPr>
  </w:style>
  <w:style w:type="table" w:customStyle="1" w:styleId="23">
    <w:name w:val="Сетка таблицы2"/>
    <w:basedOn w:val="a1"/>
    <w:next w:val="af8"/>
    <w:uiPriority w:val="39"/>
    <w:rsid w:val="00A815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a">
    <w:name w:val="line number"/>
    <w:uiPriority w:val="99"/>
    <w:semiHidden/>
    <w:unhideWhenUsed/>
    <w:rsid w:val="00A815A6"/>
  </w:style>
  <w:style w:type="numbering" w:customStyle="1" w:styleId="24">
    <w:name w:val="Нет списка2"/>
    <w:next w:val="a2"/>
    <w:uiPriority w:val="99"/>
    <w:semiHidden/>
    <w:unhideWhenUsed/>
    <w:rsid w:val="00A815A6"/>
  </w:style>
  <w:style w:type="table" w:customStyle="1" w:styleId="33">
    <w:name w:val="Сетка таблицы3"/>
    <w:basedOn w:val="a1"/>
    <w:next w:val="af8"/>
    <w:uiPriority w:val="39"/>
    <w:rsid w:val="00A815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4-Accent11">
    <w:name w:val="List Table 4 - Accent 11"/>
    <w:basedOn w:val="a1"/>
    <w:uiPriority w:val="49"/>
    <w:rsid w:val="00A815A6"/>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rvps4">
    <w:name w:val="rvps4"/>
    <w:basedOn w:val="a"/>
    <w:rsid w:val="00A815A6"/>
    <w:pPr>
      <w:spacing w:before="100" w:beforeAutospacing="1" w:after="100" w:afterAutospacing="1"/>
    </w:pPr>
    <w:rPr>
      <w:rFonts w:eastAsia="Times New Roman"/>
      <w:kern w:val="0"/>
      <w:sz w:val="24"/>
      <w:szCs w:val="24"/>
      <w:lang w:eastAsia="ru-RU"/>
    </w:rPr>
  </w:style>
  <w:style w:type="character" w:customStyle="1" w:styleId="rvts22">
    <w:name w:val="rvts22"/>
    <w:rsid w:val="00A815A6"/>
  </w:style>
  <w:style w:type="character" w:customStyle="1" w:styleId="rvts24">
    <w:name w:val="rvts24"/>
    <w:rsid w:val="00A815A6"/>
  </w:style>
  <w:style w:type="character" w:customStyle="1" w:styleId="clauseprfx">
    <w:name w:val="clauseprfx"/>
    <w:rsid w:val="00A815A6"/>
  </w:style>
  <w:style w:type="table" w:customStyle="1" w:styleId="42">
    <w:name w:val="Сетка таблицы4"/>
    <w:basedOn w:val="a1"/>
    <w:next w:val="af8"/>
    <w:uiPriority w:val="39"/>
    <w:rsid w:val="00A815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
    <w:name w:val="Неразрешенное упоминание1"/>
    <w:uiPriority w:val="99"/>
    <w:semiHidden/>
    <w:unhideWhenUsed/>
    <w:rsid w:val="00A815A6"/>
    <w:rPr>
      <w:color w:val="605E5C"/>
      <w:shd w:val="clear" w:color="auto" w:fill="E1DFDD"/>
    </w:rPr>
  </w:style>
  <w:style w:type="character" w:customStyle="1" w:styleId="a8">
    <w:name w:val="Абзац списка Знак"/>
    <w:aliases w:val="ПАРАГРАФ Знак,Абзац списка для документа Знак,List Paragraph1 Знак,название Знак,Bullet Points Знак,Listenabsatz1 Знак,Bullet List Paragraph Знак,Level 1 Bullet Знак,Subtítulo tabela Знак,Resume Title Знак,Заголовок 41 Знак,Ha Знак"/>
    <w:link w:val="a7"/>
    <w:uiPriority w:val="34"/>
    <w:qFormat/>
    <w:locked/>
    <w:rsid w:val="00A815A6"/>
    <w:rPr>
      <w:rFonts w:ascii="Times New Roman" w:hAnsi="Times New Roman"/>
      <w:sz w:val="28"/>
    </w:rPr>
  </w:style>
  <w:style w:type="paragraph" w:customStyle="1" w:styleId="51">
    <w:name w:val="Основной текст5"/>
    <w:basedOn w:val="a"/>
    <w:rsid w:val="00A815A6"/>
    <w:pPr>
      <w:spacing w:after="0" w:line="360" w:lineRule="auto"/>
      <w:jc w:val="center"/>
    </w:pPr>
    <w:rPr>
      <w:rFonts w:ascii="BalticaUzbek" w:eastAsia="Times New Roman" w:hAnsi="BalticaUzbek" w:cs="Vrinda"/>
      <w:kern w:val="0"/>
      <w:sz w:val="26"/>
      <w:szCs w:val="26"/>
      <w:lang w:eastAsia="ru-RU" w:bidi="mni-IN"/>
    </w:rPr>
  </w:style>
  <w:style w:type="paragraph" w:customStyle="1" w:styleId="15">
    <w:name w:val="Абзац списка1"/>
    <w:basedOn w:val="a"/>
    <w:link w:val="ListParagraphChar"/>
    <w:rsid w:val="00A815A6"/>
    <w:pPr>
      <w:spacing w:after="200" w:line="276" w:lineRule="auto"/>
      <w:ind w:left="720"/>
      <w:contextualSpacing/>
    </w:pPr>
    <w:rPr>
      <w:rFonts w:ascii="Calibri" w:hAnsi="Calibri"/>
      <w:kern w:val="0"/>
      <w:sz w:val="20"/>
      <w:szCs w:val="20"/>
      <w:lang w:eastAsia="ru-RU"/>
    </w:rPr>
  </w:style>
  <w:style w:type="character" w:customStyle="1" w:styleId="ListParagraphChar">
    <w:name w:val="List Paragraph Char"/>
    <w:link w:val="15"/>
    <w:locked/>
    <w:rsid w:val="00A815A6"/>
    <w:rPr>
      <w:rFonts w:ascii="Calibri" w:eastAsia="Calibri" w:hAnsi="Calibri" w:cs="Times New Roman"/>
      <w:kern w:val="0"/>
      <w:sz w:val="20"/>
      <w:szCs w:val="20"/>
      <w:lang w:val="ru" w:eastAsia="ru-RU"/>
    </w:rPr>
  </w:style>
  <w:style w:type="paragraph" w:styleId="affb">
    <w:name w:val="Body Text Indent"/>
    <w:basedOn w:val="a"/>
    <w:link w:val="affc"/>
    <w:rsid w:val="00A815A6"/>
    <w:pPr>
      <w:spacing w:after="120" w:line="276" w:lineRule="auto"/>
      <w:ind w:left="283"/>
    </w:pPr>
    <w:rPr>
      <w:rFonts w:ascii="Calibri" w:hAnsi="Calibri"/>
      <w:kern w:val="0"/>
      <w:sz w:val="22"/>
      <w:lang w:eastAsia="ru-RU"/>
    </w:rPr>
  </w:style>
  <w:style w:type="character" w:customStyle="1" w:styleId="affc">
    <w:name w:val="Основной текст с отступом Знак"/>
    <w:link w:val="affb"/>
    <w:rsid w:val="00A815A6"/>
    <w:rPr>
      <w:rFonts w:ascii="Calibri" w:eastAsia="Calibri" w:hAnsi="Calibri" w:cs="Times New Roman"/>
      <w:kern w:val="0"/>
      <w:lang w:val="ru" w:eastAsia="ru-RU"/>
    </w:rPr>
  </w:style>
  <w:style w:type="paragraph" w:styleId="afe">
    <w:name w:val="Normal (Web)"/>
    <w:basedOn w:val="a"/>
    <w:uiPriority w:val="99"/>
    <w:unhideWhenUsed/>
    <w:rsid w:val="00A815A6"/>
    <w:rPr>
      <w:sz w:val="24"/>
      <w:szCs w:val="24"/>
    </w:rPr>
  </w:style>
  <w:style w:type="paragraph" w:styleId="25">
    <w:name w:val="Body Text 2"/>
    <w:basedOn w:val="a"/>
    <w:link w:val="26"/>
    <w:uiPriority w:val="99"/>
    <w:rsid w:val="00BB0544"/>
    <w:pPr>
      <w:spacing w:after="0"/>
      <w:jc w:val="both"/>
    </w:pPr>
    <w:rPr>
      <w:rFonts w:eastAsia="Times New Roman"/>
      <w:kern w:val="0"/>
      <w:szCs w:val="20"/>
      <w:lang w:eastAsia="ru-RU"/>
    </w:rPr>
  </w:style>
  <w:style w:type="character" w:customStyle="1" w:styleId="26">
    <w:name w:val="Основной текст 2 Знак"/>
    <w:link w:val="25"/>
    <w:uiPriority w:val="99"/>
    <w:rsid w:val="00BB0544"/>
    <w:rPr>
      <w:rFonts w:ascii="Times New Roman" w:eastAsia="Times New Roman" w:hAnsi="Times New Roman" w:cs="Times New Roman"/>
      <w:kern w:val="0"/>
      <w:sz w:val="28"/>
      <w:szCs w:val="20"/>
      <w:lang w:val="ru" w:eastAsia="ru-RU"/>
    </w:rPr>
  </w:style>
  <w:style w:type="paragraph" w:customStyle="1" w:styleId="16">
    <w:name w:val="Обычный (Интернет)1"/>
    <w:basedOn w:val="a"/>
    <w:uiPriority w:val="99"/>
    <w:unhideWhenUsed/>
    <w:rsid w:val="00BB0544"/>
    <w:pPr>
      <w:spacing w:before="100" w:beforeAutospacing="1" w:after="100" w:afterAutospacing="1"/>
    </w:pPr>
    <w:rPr>
      <w:rFonts w:eastAsia="Times New Roman"/>
      <w:kern w:val="0"/>
      <w:sz w:val="24"/>
      <w:szCs w:val="24"/>
      <w:lang w:eastAsia="ru-RU"/>
    </w:rPr>
  </w:style>
  <w:style w:type="character" w:customStyle="1" w:styleId="17">
    <w:name w:val="Неразрешенное упоминание1"/>
    <w:uiPriority w:val="99"/>
    <w:semiHidden/>
    <w:unhideWhenUsed/>
    <w:rsid w:val="00BB0544"/>
    <w:rPr>
      <w:color w:val="605E5C"/>
      <w:shd w:val="clear" w:color="auto" w:fill="E1DFDD"/>
    </w:rPr>
  </w:style>
  <w:style w:type="character" w:customStyle="1" w:styleId="text">
    <w:name w:val="text"/>
    <w:basedOn w:val="a0"/>
    <w:rsid w:val="00BB0544"/>
  </w:style>
  <w:style w:type="character" w:customStyle="1" w:styleId="title-text">
    <w:name w:val="title-text"/>
    <w:basedOn w:val="a0"/>
    <w:rsid w:val="00BB0544"/>
  </w:style>
  <w:style w:type="paragraph" w:customStyle="1" w:styleId="71">
    <w:name w:val="Основной текст7"/>
    <w:basedOn w:val="a"/>
    <w:rsid w:val="00BB0544"/>
    <w:pPr>
      <w:widowControl w:val="0"/>
      <w:shd w:val="clear" w:color="auto" w:fill="FFFFFF"/>
      <w:spacing w:before="240" w:after="0" w:line="480" w:lineRule="exact"/>
      <w:jc w:val="both"/>
    </w:pPr>
    <w:rPr>
      <w:rFonts w:ascii="Calibri" w:hAnsi="Calibri"/>
      <w:spacing w:val="3"/>
      <w:kern w:val="0"/>
      <w:sz w:val="25"/>
      <w:szCs w:val="25"/>
      <w:lang w:eastAsia="ru-RU"/>
    </w:rPr>
  </w:style>
  <w:style w:type="character" w:customStyle="1" w:styleId="11pt0pt">
    <w:name w:val="Основной текст + 11 pt;Интервал 0 pt"/>
    <w:rsid w:val="00BB0544"/>
    <w:rPr>
      <w:color w:val="000000"/>
      <w:spacing w:val="2"/>
      <w:w w:val="100"/>
      <w:position w:val="0"/>
      <w:sz w:val="22"/>
      <w:szCs w:val="22"/>
      <w:shd w:val="clear" w:color="auto" w:fill="FFFFFF"/>
      <w:lang w:val="ru"/>
    </w:rPr>
  </w:style>
  <w:style w:type="character" w:customStyle="1" w:styleId="14pt0pt">
    <w:name w:val="Основной текст + 14 pt;Интервал 0 pt"/>
    <w:rsid w:val="00BB0544"/>
    <w:rPr>
      <w:rFonts w:ascii="Times New Roman" w:eastAsia="Times New Roman" w:hAnsi="Times New Roman" w:cs="Times New Roman"/>
      <w:b w:val="0"/>
      <w:bCs w:val="0"/>
      <w:i w:val="0"/>
      <w:iCs w:val="0"/>
      <w:smallCaps w:val="0"/>
      <w:strike w:val="0"/>
      <w:color w:val="000000"/>
      <w:spacing w:val="-6"/>
      <w:w w:val="100"/>
      <w:position w:val="0"/>
      <w:sz w:val="28"/>
      <w:szCs w:val="28"/>
      <w:u w:val="none"/>
      <w:shd w:val="clear" w:color="auto" w:fill="FFFFFF"/>
      <w:lang w:val="ru"/>
    </w:rPr>
  </w:style>
  <w:style w:type="character" w:styleId="affd">
    <w:name w:val="Emphasis"/>
    <w:uiPriority w:val="20"/>
    <w:qFormat/>
    <w:rsid w:val="00BB0544"/>
    <w:rPr>
      <w:i/>
      <w:iCs/>
    </w:rPr>
  </w:style>
  <w:style w:type="paragraph" w:customStyle="1" w:styleId="whitespace-pre-wrap">
    <w:name w:val="whitespace-pre-wrap"/>
    <w:basedOn w:val="a"/>
    <w:rsid w:val="00BB0544"/>
    <w:pPr>
      <w:spacing w:before="100" w:beforeAutospacing="1" w:after="100" w:afterAutospacing="1"/>
    </w:pPr>
    <w:rPr>
      <w:rFonts w:eastAsia="Times New Roman"/>
      <w:kern w:val="0"/>
      <w:sz w:val="24"/>
      <w:szCs w:val="24"/>
      <w:lang w:eastAsia="ru-RU"/>
    </w:rPr>
  </w:style>
  <w:style w:type="character" w:customStyle="1" w:styleId="self-center">
    <w:name w:val="self-center"/>
    <w:rsid w:val="00BB0544"/>
  </w:style>
  <w:style w:type="character" w:customStyle="1" w:styleId="27">
    <w:name w:val="Неразрешенное упоминание2"/>
    <w:uiPriority w:val="99"/>
    <w:semiHidden/>
    <w:unhideWhenUsed/>
    <w:rsid w:val="00BB0544"/>
    <w:rPr>
      <w:color w:val="605E5C"/>
      <w:shd w:val="clear" w:color="auto" w:fill="E1DFDD"/>
    </w:rPr>
  </w:style>
  <w:style w:type="character" w:styleId="affe">
    <w:name w:val="Placeholder Text"/>
    <w:uiPriority w:val="99"/>
    <w:semiHidden/>
    <w:rsid w:val="00BB0544"/>
    <w:rPr>
      <w:color w:val="808080"/>
    </w:rPr>
  </w:style>
  <w:style w:type="table" w:customStyle="1" w:styleId="211">
    <w:name w:val="Сетка таблицы21"/>
    <w:basedOn w:val="a1"/>
    <w:next w:val="af8"/>
    <w:uiPriority w:val="39"/>
    <w:rsid w:val="00BB054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f8"/>
    <w:uiPriority w:val="39"/>
    <w:rsid w:val="00BB054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8"/>
    <w:uiPriority w:val="39"/>
    <w:rsid w:val="00BB05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8"/>
    <w:uiPriority w:val="39"/>
    <w:rsid w:val="00BB05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8"/>
    <w:uiPriority w:val="39"/>
    <w:rsid w:val="00BB05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f8"/>
    <w:uiPriority w:val="39"/>
    <w:rsid w:val="00BB05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1"/>
    <w:next w:val="af8"/>
    <w:uiPriority w:val="39"/>
    <w:rsid w:val="00BB05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8"/>
    <w:uiPriority w:val="39"/>
    <w:rsid w:val="00BB05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8"/>
    <w:uiPriority w:val="39"/>
    <w:rsid w:val="00BB05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4">
    <w:name w:val="Неразрешенное упоминание3"/>
    <w:uiPriority w:val="99"/>
    <w:semiHidden/>
    <w:unhideWhenUsed/>
    <w:rsid w:val="00BB0544"/>
    <w:rPr>
      <w:color w:val="605E5C"/>
      <w:shd w:val="clear" w:color="auto" w:fill="E1DFDD"/>
    </w:rPr>
  </w:style>
  <w:style w:type="character" w:customStyle="1" w:styleId="43">
    <w:name w:val="Неразрешенное упоминание4"/>
    <w:uiPriority w:val="99"/>
    <w:semiHidden/>
    <w:unhideWhenUsed/>
    <w:rsid w:val="00BB0544"/>
    <w:rPr>
      <w:color w:val="605E5C"/>
      <w:shd w:val="clear" w:color="auto" w:fill="E1DFDD"/>
    </w:rPr>
  </w:style>
  <w:style w:type="character" w:customStyle="1" w:styleId="A11">
    <w:name w:val="A11"/>
    <w:uiPriority w:val="99"/>
    <w:rsid w:val="00BB0544"/>
    <w:rPr>
      <w:rFonts w:cs="Myriad Pro"/>
      <w:b/>
      <w:bCs/>
      <w:color w:val="000000"/>
      <w:sz w:val="14"/>
      <w:szCs w:val="14"/>
    </w:rPr>
  </w:style>
  <w:style w:type="paragraph" w:customStyle="1" w:styleId="rvps3">
    <w:name w:val="rvps3"/>
    <w:basedOn w:val="a"/>
    <w:rsid w:val="00940E35"/>
    <w:pPr>
      <w:spacing w:before="100" w:beforeAutospacing="1" w:after="100" w:afterAutospacing="1"/>
      <w:ind w:firstLine="570"/>
      <w:jc w:val="both"/>
    </w:pPr>
    <w:rPr>
      <w:rFonts w:eastAsia="Times New Roman"/>
      <w:kern w:val="0"/>
      <w:sz w:val="24"/>
      <w:szCs w:val="24"/>
      <w:lang w:eastAsia="ru-RU"/>
    </w:rPr>
  </w:style>
  <w:style w:type="character" w:styleId="HTML">
    <w:name w:val="HTML Code"/>
    <w:uiPriority w:val="99"/>
    <w:semiHidden/>
    <w:unhideWhenUsed/>
    <w:rsid w:val="00B36355"/>
    <w:rPr>
      <w:rFonts w:ascii="Courier New" w:eastAsia="Times New Roman" w:hAnsi="Courier New" w:cs="Courier New"/>
      <w:sz w:val="20"/>
      <w:szCs w:val="20"/>
    </w:rPr>
  </w:style>
  <w:style w:type="paragraph" w:customStyle="1" w:styleId="isselectedend">
    <w:name w:val="isselectedend"/>
    <w:basedOn w:val="a"/>
    <w:rsid w:val="00E46DF0"/>
    <w:pPr>
      <w:spacing w:before="100" w:beforeAutospacing="1" w:after="100" w:afterAutospacing="1"/>
    </w:pPr>
    <w:rPr>
      <w:rFonts w:eastAsia="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684190">
      <w:bodyDiv w:val="1"/>
      <w:marLeft w:val="0"/>
      <w:marRight w:val="0"/>
      <w:marTop w:val="0"/>
      <w:marBottom w:val="0"/>
      <w:divBdr>
        <w:top w:val="none" w:sz="0" w:space="0" w:color="auto"/>
        <w:left w:val="none" w:sz="0" w:space="0" w:color="auto"/>
        <w:bottom w:val="none" w:sz="0" w:space="0" w:color="auto"/>
        <w:right w:val="none" w:sz="0" w:space="0" w:color="auto"/>
      </w:divBdr>
    </w:div>
    <w:div w:id="379793663">
      <w:bodyDiv w:val="1"/>
      <w:marLeft w:val="0"/>
      <w:marRight w:val="0"/>
      <w:marTop w:val="0"/>
      <w:marBottom w:val="0"/>
      <w:divBdr>
        <w:top w:val="none" w:sz="0" w:space="0" w:color="auto"/>
        <w:left w:val="none" w:sz="0" w:space="0" w:color="auto"/>
        <w:bottom w:val="none" w:sz="0" w:space="0" w:color="auto"/>
        <w:right w:val="none" w:sz="0" w:space="0" w:color="auto"/>
      </w:divBdr>
    </w:div>
    <w:div w:id="610208395">
      <w:bodyDiv w:val="1"/>
      <w:marLeft w:val="0"/>
      <w:marRight w:val="0"/>
      <w:marTop w:val="0"/>
      <w:marBottom w:val="0"/>
      <w:divBdr>
        <w:top w:val="none" w:sz="0" w:space="0" w:color="auto"/>
        <w:left w:val="none" w:sz="0" w:space="0" w:color="auto"/>
        <w:bottom w:val="none" w:sz="0" w:space="0" w:color="auto"/>
        <w:right w:val="none" w:sz="0" w:space="0" w:color="auto"/>
      </w:divBdr>
    </w:div>
    <w:div w:id="214487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chart" Target="charts/chart1.xml"/><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next-generation-eu.europa.eu/index_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3.png"/><Relationship Id="rId28" Type="http://schemas.openxmlformats.org/officeDocument/2006/relationships/chart" Target="charts/chart2.xml"/><Relationship Id="rId10" Type="http://schemas.openxmlformats.org/officeDocument/2006/relationships/image" Target="media/image3.png"/><Relationship Id="rId19" Type="http://schemas.openxmlformats.org/officeDocument/2006/relationships/hyperlink" Target="https://agriculture.ec.europa.eu/common-agricultural-policy/cap-overview/cap-glance_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eec.eaeunion.org/" TargetMode="External"/><Relationship Id="rId18" Type="http://schemas.openxmlformats.org/officeDocument/2006/relationships/hyperlink" Target="https://eec.eaeunion.org/comission/department/dep_stat/union_stat/current_stat/investments/series/?ysclid=m1tmg7doa4877555903" TargetMode="External"/><Relationship Id="rId26" Type="http://schemas.openxmlformats.org/officeDocument/2006/relationships/hyperlink" Target="https://www.mckinsey.com/industries/agriculture/our-insights/agricultures-connected-future-how-technology-can-yield-new-growth" TargetMode="External"/><Relationship Id="rId39" Type="http://schemas.openxmlformats.org/officeDocument/2006/relationships/hyperlink" Target="https://www.mckinsey.com/industries/agriculture/our-insights/agricultures-connected-future-how-technology-can-yield-new-growth" TargetMode="External"/><Relationship Id="rId21" Type="http://schemas.openxmlformats.org/officeDocument/2006/relationships/hyperlink" Target="https://eec.eaeunion.org/comission/department/dep_stat/union_stat/current_stat/investments/series/?ysclid=m1tmg7doa4877555903" TargetMode="External"/><Relationship Id="rId34" Type="http://schemas.openxmlformats.org/officeDocument/2006/relationships/hyperlink" Target="https://www.mckinsey.com/industries/agriculture/our-insights/agricultures-connected-future-how-technology-can-yield-new-growth" TargetMode="External"/><Relationship Id="rId42" Type="http://schemas.openxmlformats.org/officeDocument/2006/relationships/hyperlink" Target="https://www.mckinsey.com/industries/agriculture/our-insights/agricultures-connected-future-how-technology-can-yield-new-growth" TargetMode="External"/><Relationship Id="rId47" Type="http://schemas.openxmlformats.org/officeDocument/2006/relationships/hyperlink" Target="https://www.mckinsey.com/industries/agriculture/our-insights/agricultures-connected-future-how-technology-can-yield-new-growth" TargetMode="External"/><Relationship Id="rId50" Type="http://schemas.openxmlformats.org/officeDocument/2006/relationships/hyperlink" Target="https://www.mckinsey.com/industries/agriculture/our-insights/agricultures-connected-future-how-technology-can-yield-new-growth" TargetMode="External"/><Relationship Id="rId55" Type="http://schemas.openxmlformats.org/officeDocument/2006/relationships/hyperlink" Target="https://www.mckinsey.com/industries/agriculture/our-insights/agricultures-connected-future-how-technology-can-yield-new-growth" TargetMode="External"/><Relationship Id="rId63" Type="http://schemas.openxmlformats.org/officeDocument/2006/relationships/hyperlink" Target="https://news.un.org/ru/story/2024/09/1455971" TargetMode="External"/><Relationship Id="rId7" Type="http://schemas.openxmlformats.org/officeDocument/2006/relationships/hyperlink" Target="https://www.sciencedirect.com/science/article/abs/pii/S0306919220301652" TargetMode="External"/><Relationship Id="rId2" Type="http://schemas.openxmlformats.org/officeDocument/2006/relationships/hyperlink" Target="https://book.ru/extrasearch?author=%D0%A4%D0%B8%D0%BB%D0%B0%D1%82%D0%BE%D0%B2%D0%B0+%D0%A2.%D0%92." TargetMode="External"/><Relationship Id="rId16" Type="http://schemas.openxmlformats.org/officeDocument/2006/relationships/hyperlink" Target="https://eec.eaeunion.org/comission/department/dep_stat/union_stat/current_stat/investments/series/?ysclid=m1tmg7doa4877555903" TargetMode="External"/><Relationship Id="rId29" Type="http://schemas.openxmlformats.org/officeDocument/2006/relationships/hyperlink" Target="https://www.mckinsey.com/industries/agriculture/our-insights/agricultures-connected-future-how-technology-can-yield-new-growth" TargetMode="External"/><Relationship Id="rId1" Type="http://schemas.openxmlformats.org/officeDocument/2006/relationships/hyperlink" Target="https://book.ru/extrasearch?author=%D0%91%D1%80%D1%83%D1%81%D0%BE%D0%B2+%D0%9F.%D0%9D." TargetMode="External"/><Relationship Id="rId6" Type="http://schemas.openxmlformats.org/officeDocument/2006/relationships/hyperlink" Target="https://www.rfbr.ru/library/books?aid=7139" TargetMode="External"/><Relationship Id="rId11" Type="http://schemas.openxmlformats.org/officeDocument/2006/relationships/hyperlink" Target="http://ej.kubagro.ru/2005/06/18/?ysclid=lxcahbwvlb909793780" TargetMode="External"/><Relationship Id="rId24" Type="http://schemas.openxmlformats.org/officeDocument/2006/relationships/hyperlink" Target="https://www.mckinsey.com/industries/agriculture/our-insights/agricultures-connected-future-how-technology-can-yield-new-growth" TargetMode="External"/><Relationship Id="rId32" Type="http://schemas.openxmlformats.org/officeDocument/2006/relationships/hyperlink" Target="https://www.mckinsey.com/industries/agriculture/our-insights/agricultures-connected-future-how-technology-can-yield-new-growth" TargetMode="External"/><Relationship Id="rId37" Type="http://schemas.openxmlformats.org/officeDocument/2006/relationships/hyperlink" Target="https://www.mckinsey.com/industries/agriculture/our-insights/agricultures-connected-future-how-technology-can-yield-new-growth" TargetMode="External"/><Relationship Id="rId40" Type="http://schemas.openxmlformats.org/officeDocument/2006/relationships/hyperlink" Target="https://www.mckinsey.com/industries/agriculture/our-insights/agricultures-connected-future-how-technology-can-yield-new-growth" TargetMode="External"/><Relationship Id="rId45" Type="http://schemas.openxmlformats.org/officeDocument/2006/relationships/hyperlink" Target="https://www.mckinsey.com/industries/agriculture/our-insights/agricultures-connected-future-how-technology-can-yield-new-growth" TargetMode="External"/><Relationship Id="rId53" Type="http://schemas.openxmlformats.org/officeDocument/2006/relationships/hyperlink" Target="https://www.mckinsey.com/industries/agriculture/our-insights/agricultures-connected-future-how-technology-can-yield-new-growth" TargetMode="External"/><Relationship Id="rId58" Type="http://schemas.openxmlformats.org/officeDocument/2006/relationships/hyperlink" Target="https://digital-strategy.ec.europa.eu/en/policies/agrifood-digital-age" TargetMode="External"/><Relationship Id="rId66" Type="http://schemas.openxmlformats.org/officeDocument/2006/relationships/hyperlink" Target="https://inbusiness.kz/ru/last/agrarii-ca-iz-za-ploho-razvitoj-infrastruktury-teryayut-do-" TargetMode="External"/><Relationship Id="rId5" Type="http://schemas.openxmlformats.org/officeDocument/2006/relationships/hyperlink" Target="https://biblioclub.ru/index.php?page=publisher_red&amp;pub_id=15289" TargetMode="External"/><Relationship Id="rId15" Type="http://schemas.openxmlformats.org/officeDocument/2006/relationships/hyperlink" Target="https://eec.eaeunion.org/comission/department/dep_stat/union_stat/current_stat/investments/series/?ysclid=m1tmg7doa4877555903" TargetMode="External"/><Relationship Id="rId23" Type="http://schemas.openxmlformats.org/officeDocument/2006/relationships/hyperlink" Target="https://www.climate.com/fieldview" TargetMode="External"/><Relationship Id="rId28" Type="http://schemas.openxmlformats.org/officeDocument/2006/relationships/hyperlink" Target="https://www.mckinsey.com/industries/agriculture/our-insights/agricultures-connected-future-how-technology-can-yield-new-growth" TargetMode="External"/><Relationship Id="rId36" Type="http://schemas.openxmlformats.org/officeDocument/2006/relationships/hyperlink" Target="https://www.mckinsey.com/industries/agriculture/our-insights/agricultures-connected-future-how-technology-can-yield-new-growth" TargetMode="External"/><Relationship Id="rId49" Type="http://schemas.openxmlformats.org/officeDocument/2006/relationships/hyperlink" Target="https://www.mckinsey.com/industries/agriculture/our-insights/agricultures-connected-future-how-technology-can-yield-new-growth" TargetMode="External"/><Relationship Id="rId57" Type="http://schemas.openxmlformats.org/officeDocument/2006/relationships/hyperlink" Target="https://www.fbn.com/analytics/reports" TargetMode="External"/><Relationship Id="rId61" Type="http://schemas.openxmlformats.org/officeDocument/2006/relationships/hyperlink" Target="https://www.europarl.europa.eu/thinktank/en/document/EPRS_STU(2023)698117" TargetMode="External"/><Relationship Id="rId10" Type="http://schemas.openxmlformats.org/officeDocument/2006/relationships/hyperlink" Target="https://www.sciencedirect.com/science/article/abs/pii/S0306919220301652" TargetMode="External"/><Relationship Id="rId19" Type="http://schemas.openxmlformats.org/officeDocument/2006/relationships/hyperlink" Target="https://eec.eaeunion.org/comission/department/dep_stat/union_stat/current_stat/investments/series/?ysclid=m1tmg7doa4877555903" TargetMode="External"/><Relationship Id="rId31" Type="http://schemas.openxmlformats.org/officeDocument/2006/relationships/hyperlink" Target="https://www.mckinsey.com/industries/agriculture/our-insights/agricultures-connected-future-how-technology-can-yield-new-growth" TargetMode="External"/><Relationship Id="rId44" Type="http://schemas.openxmlformats.org/officeDocument/2006/relationships/hyperlink" Target="https://www.mckinsey.com/industries/agriculture/our-insights/agricultures-connected-future-how-technology-can-yield-new-growth" TargetMode="External"/><Relationship Id="rId52" Type="http://schemas.openxmlformats.org/officeDocument/2006/relationships/hyperlink" Target="https://www.mckinsey.com/industries/agriculture/our-insights/agricultures-connected-future-how-technology-can-yield-new-growth" TargetMode="External"/><Relationship Id="rId60" Type="http://schemas.openxmlformats.org/officeDocument/2006/relationships/hyperlink" Target="https://www.iof2020.eu/deliverables" TargetMode="External"/><Relationship Id="rId65" Type="http://schemas.openxmlformats.org/officeDocument/2006/relationships/hyperlink" Target="https://www.caa-network.org/archives/15858" TargetMode="External"/><Relationship Id="rId4" Type="http://schemas.openxmlformats.org/officeDocument/2006/relationships/hyperlink" Target="https://biblioclub.ru/index.php?page=author_red&amp;id=94760" TargetMode="External"/><Relationship Id="rId9" Type="http://schemas.openxmlformats.org/officeDocument/2006/relationships/hyperlink" Target="file:///D:\&#208;&#154;&#209;&#158;&#209;&#135;&#210;&#155;&#208;&#176;&#209;&#128;&#208;&#190;&#208;&#178;%20&#208;&#164;&#208;&#176;&#208;&#185;&#208;&#183;&#209;&#131;&#208;" TargetMode="External"/><Relationship Id="rId14" Type="http://schemas.openxmlformats.org/officeDocument/2006/relationships/hyperlink" Target="https://eec.eaeunion.org/comission/department/dep_stat/union_stat/current_stat/investments/series/?ysclid=m1tmg7doa4877555903" TargetMode="External"/><Relationship Id="rId22" Type="http://schemas.openxmlformats.org/officeDocument/2006/relationships/hyperlink" Target="https://www.usda.gov/topics/farming/precision-agriculture-and-digital-agriculture" TargetMode="External"/><Relationship Id="rId27" Type="http://schemas.openxmlformats.org/officeDocument/2006/relationships/hyperlink" Target="https://www.mckinsey.com/industries/agriculture/our-insights/agricultures-connected-future-how-technology-can-yield-new-growth" TargetMode="External"/><Relationship Id="rId30" Type="http://schemas.openxmlformats.org/officeDocument/2006/relationships/hyperlink" Target="https://www.mckinsey.com/industries/agriculture/our-insights/agricultures-connected-future-how-technology-can-yield-new-growth" TargetMode="External"/><Relationship Id="rId35" Type="http://schemas.openxmlformats.org/officeDocument/2006/relationships/hyperlink" Target="https://www.mckinsey.com/industries/agriculture/our-insights/agricultures-connected-future-how-technology-can-yield-new-growth" TargetMode="External"/><Relationship Id="rId43" Type="http://schemas.openxmlformats.org/officeDocument/2006/relationships/hyperlink" Target="https://www.mckinsey.com/industries/agriculture/our-insights/agricultures-connected-future-how-technology-can-yield-new-growth" TargetMode="External"/><Relationship Id="rId48" Type="http://schemas.openxmlformats.org/officeDocument/2006/relationships/hyperlink" Target="https://www.mckinsey.com/industries/agriculture/our-insights/agricultures-connected-future-how-technology-can-yield-new-growth" TargetMode="External"/><Relationship Id="rId56" Type="http://schemas.openxmlformats.org/officeDocument/2006/relationships/hyperlink" Target="https://www.deere.com/en/precision-agriculture/" TargetMode="External"/><Relationship Id="rId64" Type="http://schemas.openxmlformats.org/officeDocument/2006/relationships/hyperlink" Target="file:///D:\WINDOW~1\AppData\Local\Temp\Rar$DIa17436.26366\moluch_322_ch2.pdf" TargetMode="External"/><Relationship Id="rId8" Type="http://schemas.openxmlformats.org/officeDocument/2006/relationships/hyperlink" Target="http://ej.kubagro.ru/2005/06/18/?ysclid=lxcahbwvlb909793780" TargetMode="External"/><Relationship Id="rId51" Type="http://schemas.openxmlformats.org/officeDocument/2006/relationships/hyperlink" Target="https://www.mckinsey.com/industries/agriculture/our-insights/agricultures-connected-future-how-technology-can-yield-new-growth" TargetMode="External"/><Relationship Id="rId3" Type="http://schemas.openxmlformats.org/officeDocument/2006/relationships/hyperlink" Target="https://book.ru/extrasearch?author=%D0%9E%D1%80%D0%B5%D1%85%D0%BE%D0%B2%D0%B0+%D0%9D.%D0%9F." TargetMode="External"/><Relationship Id="rId12" Type="http://schemas.openxmlformats.org/officeDocument/2006/relationships/hyperlink" Target="file:///D:\&#208;&#154;&#209;&#158;&#209;&#135;&#210;&#155;&#208;&#176;&#209;&#128;&#208;&#190;&#208;&#178;%20&#208;&#164;&#208;&#176;&#208;&#185;&#208;&#183;&#209;&#131;&#208;" TargetMode="External"/><Relationship Id="rId17" Type="http://schemas.openxmlformats.org/officeDocument/2006/relationships/hyperlink" Target="https://eec.eaeunion.org/comission/department/dep_stat/union_stat/current_stat/investments/series/?ysclid=m1tmg7doa4877555903" TargetMode="External"/><Relationship Id="rId25" Type="http://schemas.openxmlformats.org/officeDocument/2006/relationships/hyperlink" Target="https://www.mckinsey.com/industries/agriculture/our-insights/agricultures-connected-future-how-technology-can-yield-new-growth" TargetMode="External"/><Relationship Id="rId33" Type="http://schemas.openxmlformats.org/officeDocument/2006/relationships/hyperlink" Target="https://www.mckinsey.com/industries/agriculture/our-insights/agricultures-connected-future-how-technology-can-yield-new-growth" TargetMode="External"/><Relationship Id="rId38" Type="http://schemas.openxmlformats.org/officeDocument/2006/relationships/hyperlink" Target="https://www.mckinsey.com/industries/agriculture/our-insights/agricultures-connected-future-how-technology-can-yield-new-growth" TargetMode="External"/><Relationship Id="rId46" Type="http://schemas.openxmlformats.org/officeDocument/2006/relationships/hyperlink" Target="https://www.mckinsey.com/industries/agriculture/our-insights/agricultures-connected-future-how-technology-can-yield-new-growth" TargetMode="External"/><Relationship Id="rId59" Type="http://schemas.openxmlformats.org/officeDocument/2006/relationships/hyperlink" Target="https://www.copernicus.eu/en/agriculture" TargetMode="External"/><Relationship Id="rId67" Type="http://schemas.openxmlformats.org/officeDocument/2006/relationships/hyperlink" Target="https://www.gazeta.uz/ru/2022/07/07/agro-reforms/" TargetMode="External"/><Relationship Id="rId20" Type="http://schemas.openxmlformats.org/officeDocument/2006/relationships/hyperlink" Target="https://eec.eaeunion.org/comission/department/dep_stat/union_stat/current_stat/investments/series/?ysclid=m1tmg7doa4877555903" TargetMode="External"/><Relationship Id="rId41" Type="http://schemas.openxmlformats.org/officeDocument/2006/relationships/hyperlink" Target="https://www.mckinsey.com/industries/agriculture/our-insights/agricultures-connected-future-how-technology-can-yield-new-growth" TargetMode="External"/><Relationship Id="rId54" Type="http://schemas.openxmlformats.org/officeDocument/2006/relationships/hyperlink" Target="https://www.mckinsey.com/industries/agriculture/our-insights/agricultures-connected-future-how-technology-can-yield-new-growth" TargetMode="External"/><Relationship Id="rId62" Type="http://schemas.openxmlformats.org/officeDocument/2006/relationships/hyperlink" Target="file:///D:\Windows%2010\Downloads\4.INVESTISIYA%20VA%20QURILISH%20ISHLARI%20(7).pdf"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mehmo\Desktop\Qishloq%20xo'jaligi%20statistika%2003.04.2025.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742070517678414E-2"/>
          <c:y val="8.7612249104982651E-2"/>
          <c:w val="0.87612674595604556"/>
          <c:h val="0.5572937711918321"/>
        </c:manualLayout>
      </c:layout>
      <c:scatterChart>
        <c:scatterStyle val="lineMarker"/>
        <c:varyColors val="0"/>
        <c:ser>
          <c:idx val="0"/>
          <c:order val="0"/>
          <c:tx>
            <c:strRef>
              <c:f>'[Qishloq xo''jaligi statistika 03.04.2025.xlsx]2 (2)'!$B$2</c:f>
              <c:strCache>
                <c:ptCount val="1"/>
                <c:pt idx="0">
                  <c:v>Asosiy kapitalga o‘zlashtirilgan investisiyalar 
(trln so'm)</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8.7000158070565686E-2"/>
                  <c:y val="-8.667124063245304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782-43BA-8CEB-30764F0E9D84}"/>
                </c:ext>
                <c:ext xmlns:c15="http://schemas.microsoft.com/office/drawing/2012/chart" uri="{CE6537A1-D6FC-4f65-9D91-7224C49458BB}"/>
              </c:extLst>
            </c:dLbl>
            <c:dLbl>
              <c:idx val="1"/>
              <c:layout>
                <c:manualLayout>
                  <c:x val="-6.8821020563283389E-2"/>
                  <c:y val="-0.11612263308037386"/>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782-43BA-8CEB-30764F0E9D84}"/>
                </c:ext>
                <c:ext xmlns:c15="http://schemas.microsoft.com/office/drawing/2012/chart" uri="{CE6537A1-D6FC-4f65-9D91-7224C49458BB}"/>
              </c:extLst>
            </c:dLbl>
            <c:dLbl>
              <c:idx val="2"/>
              <c:layout>
                <c:manualLayout>
                  <c:x val="-5.3238902699898415E-2"/>
                  <c:y val="-8.667124063245296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782-43BA-8CEB-30764F0E9D84}"/>
                </c:ext>
                <c:ext xmlns:c15="http://schemas.microsoft.com/office/drawing/2012/chart" uri="{CE6537A1-D6FC-4f65-9D91-7224C49458BB}"/>
              </c:extLst>
            </c:dLbl>
            <c:dLbl>
              <c:idx val="3"/>
              <c:layout>
                <c:manualLayout>
                  <c:x val="-4.5447843768206E-2"/>
                  <c:y val="-0.1203299748586482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782-43BA-8CEB-30764F0E9D84}"/>
                </c:ext>
                <c:ext xmlns:c15="http://schemas.microsoft.com/office/drawing/2012/chart" uri="{CE6537A1-D6FC-4f65-9D91-7224C49458BB}"/>
              </c:extLst>
            </c:dLbl>
            <c:dLbl>
              <c:idx val="4"/>
              <c:layout>
                <c:manualLayout>
                  <c:x val="-4.2850824124308511E-2"/>
                  <c:y val="-6.984187351935526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782-43BA-8CEB-30764F0E9D84}"/>
                </c:ext>
                <c:ext xmlns:c15="http://schemas.microsoft.com/office/drawing/2012/chart" uri="{CE6537A1-D6FC-4f65-9D91-7224C49458BB}"/>
              </c:extLst>
            </c:dLbl>
            <c:dLbl>
              <c:idx val="5"/>
              <c:layout>
                <c:manualLayout>
                  <c:x val="-4.0253804480411007E-2"/>
                  <c:y val="-0.1119152913020994"/>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8782-43BA-8CEB-30764F0E9D84}"/>
                </c:ext>
                <c:ext xmlns:c15="http://schemas.microsoft.com/office/drawing/2012/chart" uri="{CE6537A1-D6FC-4f65-9D91-7224C49458BB}"/>
              </c:extLst>
            </c:dLbl>
            <c:dLbl>
              <c:idx val="7"/>
              <c:layout>
                <c:manualLayout>
                  <c:x val="-5.8432941987693429E-2"/>
                  <c:y val="-9.92932659672762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8782-43BA-8CEB-30764F0E9D84}"/>
                </c:ext>
                <c:ext xmlns:c15="http://schemas.microsoft.com/office/drawing/2012/chart" uri="{CE6537A1-D6FC-4f65-9D91-7224C49458BB}"/>
              </c:extLst>
            </c:dLbl>
            <c:dLbl>
              <c:idx val="9"/>
              <c:layout>
                <c:manualLayout>
                  <c:x val="-8.1806118782770901E-2"/>
                  <c:y val="-4.880516462798328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8782-43BA-8CEB-30764F0E9D84}"/>
                </c:ext>
                <c:ext xmlns:c15="http://schemas.microsoft.com/office/drawing/2012/chart" uri="{CE6537A1-D6FC-4f65-9D91-7224C49458BB}"/>
              </c:extLst>
            </c:dLbl>
            <c:dLbl>
              <c:idx val="10"/>
              <c:layout>
                <c:manualLayout>
                  <c:x val="-7.9209099138873307E-2"/>
                  <c:y val="-7.825655707590413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8782-43BA-8CEB-30764F0E9D84}"/>
                </c:ext>
                <c:ext xmlns:c15="http://schemas.microsoft.com/office/drawing/2012/chart" uri="{CE6537A1-D6FC-4f65-9D91-7224C49458BB}"/>
              </c:extLst>
            </c:dLbl>
            <c:dLbl>
              <c:idx val="11"/>
              <c:layout>
                <c:manualLayout>
                  <c:x val="-8.959717771446328E-2"/>
                  <c:y val="-9.50859241890018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8782-43BA-8CEB-30764F0E9D84}"/>
                </c:ext>
                <c:ext xmlns:c15="http://schemas.microsoft.com/office/drawing/2012/chart" uri="{CE6537A1-D6FC-4f65-9D91-7224C49458BB}"/>
              </c:extLst>
            </c:dLbl>
            <c:dLbl>
              <c:idx val="12"/>
              <c:layout>
                <c:manualLayout>
                  <c:x val="-5.5835922343795912E-2"/>
                  <c:y val="-9.92932659672762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8782-43BA-8CEB-30764F0E9D84}"/>
                </c:ext>
                <c:ext xmlns:c15="http://schemas.microsoft.com/office/drawing/2012/chart" uri="{CE6537A1-D6FC-4f65-9D91-7224C49458BB}"/>
              </c:extLst>
            </c:dLbl>
            <c:dLbl>
              <c:idx val="13"/>
              <c:layout>
                <c:manualLayout>
                  <c:x val="-6.1029961631590877E-2"/>
                  <c:y val="-9.92932659672762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8782-43BA-8CEB-30764F0E9D84}"/>
                </c:ext>
                <c:ext xmlns:c15="http://schemas.microsoft.com/office/drawing/2012/chart" uri="{CE6537A1-D6FC-4f65-9D91-7224C49458BB}"/>
              </c:extLst>
            </c:dLbl>
            <c:spPr>
              <a:solidFill>
                <a:schemeClr val="accent1">
                  <a:lumMod val="20000"/>
                  <a:lumOff val="80000"/>
                </a:schemeClr>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poly"/>
            <c:order val="2"/>
            <c:forward val="4"/>
            <c:backward val="2"/>
            <c:dispRSqr val="1"/>
            <c:dispEq val="1"/>
            <c:trendlineLbl>
              <c:layout>
                <c:manualLayout>
                  <c:x val="-0.21767913672165209"/>
                  <c:y val="2.4232168551406043E-3"/>
                </c:manualLayout>
              </c:layout>
              <c:numFmt formatCode="General" sourceLinked="0"/>
              <c:spPr>
                <a:solidFill>
                  <a:schemeClr val="accent1">
                    <a:lumMod val="20000"/>
                    <a:lumOff val="80000"/>
                  </a:schemeClr>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rendlineLbl>
          </c:trendline>
          <c:xVal>
            <c:numRef>
              <c:f>'[Qishloq xo''jaligi statistika 03.04.2025.xlsx]2 (2)'!$A$3:$A$17</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'[Qishloq xo''jaligi statistika 03.04.2025.xlsx]2 (2)'!$B$3:$B$17</c:f>
              <c:numCache>
                <c:formatCode>General</c:formatCode>
                <c:ptCount val="15"/>
                <c:pt idx="0">
                  <c:v>15.4</c:v>
                </c:pt>
                <c:pt idx="1">
                  <c:v>18.3</c:v>
                </c:pt>
                <c:pt idx="2">
                  <c:v>22.1</c:v>
                </c:pt>
                <c:pt idx="3">
                  <c:v>27.6</c:v>
                </c:pt>
                <c:pt idx="4" formatCode="0.0">
                  <c:v>33.700000000000003</c:v>
                </c:pt>
                <c:pt idx="5" formatCode="0.0">
                  <c:v>40.700000000000003</c:v>
                </c:pt>
                <c:pt idx="6" formatCode="0.0">
                  <c:v>49.5</c:v>
                </c:pt>
                <c:pt idx="7" formatCode="0.0">
                  <c:v>60.7</c:v>
                </c:pt>
                <c:pt idx="8" formatCode="0.0">
                  <c:v>107.3</c:v>
                </c:pt>
                <c:pt idx="9" formatCode="0.0">
                  <c:v>189.9</c:v>
                </c:pt>
                <c:pt idx="10" formatCode="0.0">
                  <c:v>202</c:v>
                </c:pt>
                <c:pt idx="11" formatCode="0.0">
                  <c:v>245</c:v>
                </c:pt>
                <c:pt idx="12" formatCode="0.0">
                  <c:v>269.89999999999986</c:v>
                </c:pt>
                <c:pt idx="13" formatCode="0.0">
                  <c:v>352.1</c:v>
                </c:pt>
                <c:pt idx="14" formatCode="0.0">
                  <c:v>493.7</c:v>
                </c:pt>
              </c:numCache>
            </c:numRef>
          </c:yVal>
          <c:smooth val="0"/>
          <c:extLst xmlns:c16r2="http://schemas.microsoft.com/office/drawing/2015/06/chart">
            <c:ext xmlns:c16="http://schemas.microsoft.com/office/drawing/2014/chart" uri="{C3380CC4-5D6E-409C-BE32-E72D297353CC}">
              <c16:uniqueId val="{0000000C-8782-43BA-8CEB-30764F0E9D84}"/>
            </c:ext>
          </c:extLst>
        </c:ser>
        <c:ser>
          <c:idx val="1"/>
          <c:order val="1"/>
          <c:tx>
            <c:strRef>
              <c:f>'[Qishloq xo''jaligi statistika 03.04.2025.xlsx]2 (2)'!$C$2</c:f>
              <c:strCache>
                <c:ptCount val="1"/>
                <c:pt idx="0">
                  <c:v>O‘zbekiston Respublikasida iqtisodiy faoliyat turlari bo‘yicha asosiy kapitalga investisiyalar tarkibida qishloq xo‘jaligining hajmi (trln so'm)</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1"/>
              <c:layout>
                <c:manualLayout>
                  <c:x val="-4.2850824124308511E-2"/>
                  <c:y val="9.087858241072722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8782-43BA-8CEB-30764F0E9D84}"/>
                </c:ext>
                <c:ext xmlns:c15="http://schemas.microsoft.com/office/drawing/2012/chart" uri="{CE6537A1-D6FC-4f65-9D91-7224C49458BB}"/>
              </c:extLst>
            </c:dLbl>
            <c:dLbl>
              <c:idx val="2"/>
              <c:layout>
                <c:manualLayout>
                  <c:x val="-2.7268706260923595E-2"/>
                  <c:y val="0.1035006077455505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8782-43BA-8CEB-30764F0E9D84}"/>
                </c:ext>
                <c:ext xmlns:c15="http://schemas.microsoft.com/office/drawing/2012/chart" uri="{CE6537A1-D6FC-4f65-9D91-7224C49458BB}"/>
              </c:extLst>
            </c:dLbl>
            <c:dLbl>
              <c:idx val="3"/>
              <c:layout>
                <c:manualLayout>
                  <c:x val="-2.7268706260923595E-2"/>
                  <c:y val="9.929326596727622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8782-43BA-8CEB-30764F0E9D84}"/>
                </c:ext>
                <c:ext xmlns:c15="http://schemas.microsoft.com/office/drawing/2012/chart" uri="{CE6537A1-D6FC-4f65-9D91-7224C49458BB}"/>
              </c:extLst>
            </c:dLbl>
            <c:dLbl>
              <c:idx val="4"/>
              <c:layout>
                <c:manualLayout>
                  <c:x val="-2.7268706260923554E-2"/>
                  <c:y val="9.929326596727627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8782-43BA-8CEB-30764F0E9D84}"/>
                </c:ext>
                <c:ext xmlns:c15="http://schemas.microsoft.com/office/drawing/2012/chart" uri="{CE6537A1-D6FC-4f65-9D91-7224C49458BB}"/>
              </c:extLst>
            </c:dLbl>
            <c:dLbl>
              <c:idx val="6"/>
              <c:layout>
                <c:manualLayout>
                  <c:x val="-2.7268706260923595E-2"/>
                  <c:y val="8.667124063245286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8782-43BA-8CEB-30764F0E9D84}"/>
                </c:ext>
                <c:ext xmlns:c15="http://schemas.microsoft.com/office/drawing/2012/chart" uri="{CE6537A1-D6FC-4f65-9D91-7224C49458BB}"/>
              </c:extLst>
            </c:dLbl>
            <c:dLbl>
              <c:idx val="7"/>
              <c:layout>
                <c:manualLayout>
                  <c:x val="-3.8955294658463229E-3"/>
                  <c:y val="9.087858241072722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8782-43BA-8CEB-30764F0E9D84}"/>
                </c:ext>
                <c:ext xmlns:c15="http://schemas.microsoft.com/office/drawing/2012/chart" uri="{CE6537A1-D6FC-4f65-9D91-7224C49458BB}"/>
              </c:extLst>
            </c:dLbl>
            <c:dLbl>
              <c:idx val="8"/>
              <c:layout>
                <c:manualLayout>
                  <c:x val="-5.0706118272097762E-2"/>
                  <c:y val="-1.869832488038326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8782-43BA-8CEB-30764F0E9D84}"/>
                </c:ext>
                <c:ext xmlns:c15="http://schemas.microsoft.com/office/drawing/2012/chart" uri="{CE6537A1-D6FC-4f65-9D91-7224C49458BB}"/>
              </c:extLst>
            </c:dLbl>
            <c:dLbl>
              <c:idx val="9"/>
              <c:layout>
                <c:manualLayout>
                  <c:x val="-4.8105804514554158E-2"/>
                  <c:y val="-4.4196040626360504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8782-43BA-8CEB-30764F0E9D84}"/>
                </c:ext>
                <c:ext xmlns:c15="http://schemas.microsoft.com/office/drawing/2012/chart" uri="{CE6537A1-D6FC-4f65-9D91-7224C49458BB}"/>
              </c:extLst>
            </c:dLbl>
            <c:dLbl>
              <c:idx val="10"/>
              <c:layout>
                <c:manualLayout>
                  <c:x val="-3.7704549484380318E-2"/>
                  <c:y val="-6.544413708134141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8782-43BA-8CEB-30764F0E9D84}"/>
                </c:ext>
                <c:ext xmlns:c15="http://schemas.microsoft.com/office/drawing/2012/chart" uri="{CE6537A1-D6FC-4f65-9D91-7224C49458BB}"/>
              </c:extLst>
            </c:dLbl>
            <c:dLbl>
              <c:idx val="11"/>
              <c:layout>
                <c:manualLayout>
                  <c:x val="-4.0304863241923887E-2"/>
                  <c:y val="-0.12918842644628431"/>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6-8782-43BA-8CEB-30764F0E9D84}"/>
                </c:ext>
                <c:ext xmlns:c15="http://schemas.microsoft.com/office/drawing/2012/chart" uri="{CE6537A1-D6FC-4f65-9D91-7224C49458BB}"/>
              </c:extLst>
            </c:dLbl>
            <c:dLbl>
              <c:idx val="12"/>
              <c:layout>
                <c:manualLayout>
                  <c:x val="-3.7704549484380318E-2"/>
                  <c:y val="-5.694489849934899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7-8782-43BA-8CEB-30764F0E9D84}"/>
                </c:ext>
                <c:ext xmlns:c15="http://schemas.microsoft.com/office/drawing/2012/chart" uri="{CE6537A1-D6FC-4f65-9D91-7224C49458BB}"/>
              </c:extLst>
            </c:dLbl>
            <c:dLbl>
              <c:idx val="13"/>
              <c:layout>
                <c:manualLayout>
                  <c:x val="-2.210266693911949E-2"/>
                  <c:y val="-7.8192994954330117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8-8782-43BA-8CEB-30764F0E9D84}"/>
                </c:ext>
                <c:ext xmlns:c15="http://schemas.microsoft.com/office/drawing/2012/chart" uri="{CE6537A1-D6FC-4f65-9D91-7224C49458BB}"/>
              </c:extLst>
            </c:dLbl>
            <c:dLbl>
              <c:idx val="14"/>
              <c:layout>
                <c:manualLayout>
                  <c:x val="-9.1010981514021427E-3"/>
                  <c:y val="-0.13768766502827667"/>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9-8782-43BA-8CEB-30764F0E9D84}"/>
                </c:ext>
                <c:ext xmlns:c15="http://schemas.microsoft.com/office/drawing/2012/chart" uri="{CE6537A1-D6FC-4f65-9D91-7224C49458BB}"/>
              </c:extLst>
            </c:dLbl>
            <c:spPr>
              <a:solidFill>
                <a:schemeClr val="accent2">
                  <a:lumMod val="20000"/>
                  <a:lumOff val="80000"/>
                </a:schemeClr>
              </a:solid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2700" cap="rnd">
                <a:solidFill>
                  <a:schemeClr val="accent2"/>
                </a:solidFill>
                <a:prstDash val="sysDot"/>
              </a:ln>
              <a:effectLst/>
            </c:spPr>
            <c:trendlineType val="poly"/>
            <c:order val="2"/>
            <c:forward val="4"/>
            <c:dispRSqr val="1"/>
            <c:dispEq val="1"/>
            <c:trendlineLbl>
              <c:layout>
                <c:manualLayout>
                  <c:x val="-0.39598970193852395"/>
                  <c:y val="-0.22213328880713862"/>
                </c:manualLayout>
              </c:layout>
              <c:numFmt formatCode="General" sourceLinked="0"/>
              <c:spPr>
                <a:solidFill>
                  <a:schemeClr val="accent2">
                    <a:lumMod val="20000"/>
                    <a:lumOff val="80000"/>
                  </a:schemeClr>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rendlineLbl>
          </c:trendline>
          <c:xVal>
            <c:numRef>
              <c:f>'[Qishloq xo''jaligi statistika 03.04.2025.xlsx]2 (2)'!$A$3:$A$17</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'[Qishloq xo''jaligi statistika 03.04.2025.xlsx]2 (2)'!$C$3:$C$17</c:f>
              <c:numCache>
                <c:formatCode>General</c:formatCode>
                <c:ptCount val="15"/>
                <c:pt idx="0">
                  <c:v>0.5</c:v>
                </c:pt>
                <c:pt idx="1">
                  <c:v>0.9</c:v>
                </c:pt>
                <c:pt idx="2" formatCode="0.0">
                  <c:v>0.91</c:v>
                </c:pt>
                <c:pt idx="3">
                  <c:v>1.2</c:v>
                </c:pt>
                <c:pt idx="4" formatCode="0.0">
                  <c:v>1.44</c:v>
                </c:pt>
                <c:pt idx="5" formatCode="0.0">
                  <c:v>1.51</c:v>
                </c:pt>
                <c:pt idx="6" formatCode="0.0">
                  <c:v>1.55</c:v>
                </c:pt>
                <c:pt idx="7" formatCode="0.0">
                  <c:v>2.04</c:v>
                </c:pt>
                <c:pt idx="8">
                  <c:v>3.6</c:v>
                </c:pt>
                <c:pt idx="9">
                  <c:v>15.1</c:v>
                </c:pt>
                <c:pt idx="10" formatCode="0.0">
                  <c:v>18.03</c:v>
                </c:pt>
                <c:pt idx="11" formatCode="#\ ##0.0">
                  <c:v>18.899999999999999</c:v>
                </c:pt>
                <c:pt idx="12">
                  <c:v>19.899999999999999</c:v>
                </c:pt>
                <c:pt idx="13">
                  <c:v>20.2</c:v>
                </c:pt>
                <c:pt idx="14">
                  <c:v>32.5</c:v>
                </c:pt>
              </c:numCache>
            </c:numRef>
          </c:yVal>
          <c:smooth val="0"/>
          <c:extLst xmlns:c16r2="http://schemas.microsoft.com/office/drawing/2015/06/chart">
            <c:ext xmlns:c16="http://schemas.microsoft.com/office/drawing/2014/chart" uri="{C3380CC4-5D6E-409C-BE32-E72D297353CC}">
              <c16:uniqueId val="{0000001A-8782-43BA-8CEB-30764F0E9D84}"/>
            </c:ext>
          </c:extLst>
        </c:ser>
        <c:dLbls>
          <c:showLegendKey val="0"/>
          <c:showVal val="0"/>
          <c:showCatName val="0"/>
          <c:showSerName val="0"/>
          <c:showPercent val="0"/>
          <c:showBubbleSize val="0"/>
        </c:dLbls>
        <c:axId val="22240648"/>
        <c:axId val="22239864"/>
      </c:scatterChart>
      <c:valAx>
        <c:axId val="22240648"/>
        <c:scaling>
          <c:orientation val="minMax"/>
        </c:scaling>
        <c:delete val="0"/>
        <c:axPos val="b"/>
        <c:numFmt formatCode="General" sourceLinked="1"/>
        <c:majorTickMark val="none"/>
        <c:minorTickMark val="none"/>
        <c:tickLblPos val="nextTo"/>
        <c:spPr>
          <a:solidFill>
            <a:schemeClr val="accent6">
              <a:lumMod val="20000"/>
              <a:lumOff val="80000"/>
            </a:schemeClr>
          </a:solidFill>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2239864"/>
        <c:crosses val="autoZero"/>
        <c:crossBetween val="midCat"/>
        <c:majorUnit val="5"/>
      </c:valAx>
      <c:valAx>
        <c:axId val="22239864"/>
        <c:scaling>
          <c:orientation val="minMax"/>
          <c:max val="600"/>
          <c:min val="0"/>
        </c:scaling>
        <c:delete val="0"/>
        <c:axPos val="l"/>
        <c:numFmt formatCode="General" sourceLinked="1"/>
        <c:majorTickMark val="in"/>
        <c:minorTickMark val="in"/>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2240648"/>
        <c:crosses val="autoZero"/>
        <c:crossBetween val="midCat"/>
        <c:majorUnit val="50"/>
      </c:valAx>
      <c:spPr>
        <a:noFill/>
        <a:ln>
          <a:solidFill>
            <a:schemeClr val="accent1"/>
          </a:solidFill>
        </a:ln>
        <a:effectLst/>
      </c:spPr>
    </c:plotArea>
    <c:legend>
      <c:legendPos val="b"/>
      <c:legendEntry>
        <c:idx val="3"/>
        <c:delete val="1"/>
      </c:legendEntry>
      <c:layout>
        <c:manualLayout>
          <c:xMode val="edge"/>
          <c:yMode val="edge"/>
          <c:x val="2.1352887951208707E-2"/>
          <c:y val="0.7597702374872497"/>
          <c:w val="0.95944380069524915"/>
          <c:h val="0.2279519850227912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spPr>
            <a:ln w="19029">
              <a:noFill/>
            </a:ln>
          </c:spPr>
          <c:marker>
            <c:symbol val="circle"/>
            <c:size val="4"/>
            <c:spPr>
              <a:solidFill>
                <a:schemeClr val="accent1"/>
              </a:solidFill>
              <a:ln w="9521">
                <a:solidFill>
                  <a:schemeClr val="accent1"/>
                </a:solidFill>
              </a:ln>
              <a:effectLst/>
            </c:spPr>
          </c:marker>
          <c:trendline>
            <c:spPr>
              <a:ln w="19042" cap="rnd">
                <a:solidFill>
                  <a:schemeClr val="accent1"/>
                </a:solidFill>
                <a:prstDash val="sysDot"/>
              </a:ln>
              <a:effectLst/>
            </c:spPr>
            <c:trendlineType val="linear"/>
            <c:dispRSqr val="1"/>
            <c:dispEq val="1"/>
            <c:trendlineLbl>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 baseline="0"/>
                      <a:t>у = 0,3721x - 15147 </a:t>
                    </a:r>
                    <a:r>
                      <a:rPr lang="en-US" baseline="0"/>
                      <a:t/>
                    </a:r>
                    <a:br>
                      <a:rPr lang="en-US" baseline="0"/>
                    </a:br>
                    <a:r>
                      <a:rPr lang="ru" baseline="0"/>
                      <a:t>R² = 0,887</a:t>
                    </a:r>
                    <a:endParaRPr lang="en-US"/>
                  </a:p>
                </c:rich>
              </c:tx>
              <c:numFmt formatCode="\О\с\н\о\в\н\о\й" sourceLinked="0"/>
              <c:spPr>
                <a:noFill/>
                <a:ln w="25372">
                  <a:noFill/>
                </a:ln>
              </c:spPr>
            </c:trendlineLbl>
          </c:trendline>
          <c:xVal>
            <c:numRef>
              <c:f>Лист1!$I$3:$S$3</c:f>
              <c:numCache>
                <c:formatCode>#\ ##0.0</c:formatCode>
                <c:ptCount val="11"/>
                <c:pt idx="0">
                  <c:v>30849.4</c:v>
                </c:pt>
                <c:pt idx="1">
                  <c:v>36957</c:v>
                </c:pt>
                <c:pt idx="2">
                  <c:v>42280.4</c:v>
                </c:pt>
                <c:pt idx="3">
                  <c:v>48431.1</c:v>
                </c:pt>
                <c:pt idx="4">
                  <c:v>69504.2</c:v>
                </c:pt>
                <c:pt idx="5">
                  <c:v>199537.4</c:v>
                </c:pt>
                <c:pt idx="6">
                  <c:v>224300</c:v>
                </c:pt>
                <c:pt idx="7">
                  <c:v>260306.8</c:v>
                </c:pt>
                <c:pt idx="8">
                  <c:v>317781.59999999998</c:v>
                </c:pt>
                <c:pt idx="9">
                  <c:v>364522.8</c:v>
                </c:pt>
                <c:pt idx="10">
                  <c:v>426300</c:v>
                </c:pt>
              </c:numCache>
            </c:numRef>
          </c:xVal>
          <c:yVal>
            <c:numRef>
              <c:f>Лист1!$I$4:$S$4</c:f>
              <c:numCache>
                <c:formatCode>#\ ##0.0</c:formatCode>
                <c:ptCount val="11"/>
                <c:pt idx="0">
                  <c:v>5594.1</c:v>
                </c:pt>
                <c:pt idx="1">
                  <c:v>6810.5</c:v>
                </c:pt>
                <c:pt idx="2">
                  <c:v>8188.2</c:v>
                </c:pt>
                <c:pt idx="3">
                  <c:v>10829.2</c:v>
                </c:pt>
                <c:pt idx="4">
                  <c:v>12395.2</c:v>
                </c:pt>
                <c:pt idx="5">
                  <c:v>31350</c:v>
                </c:pt>
                <c:pt idx="6">
                  <c:v>58786.7</c:v>
                </c:pt>
                <c:pt idx="7">
                  <c:v>64179.9</c:v>
                </c:pt>
                <c:pt idx="8">
                  <c:v>87139.1</c:v>
                </c:pt>
                <c:pt idx="9">
                  <c:v>112219.6</c:v>
                </c:pt>
                <c:pt idx="10">
                  <c:v>187900</c:v>
                </c:pt>
              </c:numCache>
            </c:numRef>
          </c:yVal>
          <c:smooth val="0"/>
        </c:ser>
        <c:dLbls>
          <c:showLegendKey val="0"/>
          <c:showVal val="0"/>
          <c:showCatName val="0"/>
          <c:showSerName val="0"/>
          <c:showPercent val="0"/>
          <c:showBubbleSize val="0"/>
        </c:dLbls>
        <c:axId val="424132128"/>
        <c:axId val="424131344"/>
      </c:scatterChart>
      <c:valAx>
        <c:axId val="424132128"/>
        <c:scaling>
          <c:orientation val="minMax"/>
        </c:scaling>
        <c:delete val="0"/>
        <c:axPos val="b"/>
        <c:majorGridlines>
          <c:spPr>
            <a:ln w="9521" cap="flat" cmpd="sng" algn="ctr">
              <a:solidFill>
                <a:schemeClr val="tx1">
                  <a:lumMod val="15000"/>
                  <a:lumOff val="85000"/>
                </a:schemeClr>
              </a:solidFill>
              <a:round/>
            </a:ln>
            <a:effectLst/>
          </c:spPr>
        </c:majorGridlines>
        <c:numFmt formatCode="#\ ##0.0" sourceLinked="1"/>
        <c:majorTickMark val="none"/>
        <c:minorTickMark val="none"/>
        <c:tickLblPos val="nextTo"/>
        <c:spPr>
          <a:noFill/>
          <a:ln w="9521" cap="flat" cmpd="sng" algn="ctr">
            <a:solidFill>
              <a:schemeClr val="tx1">
                <a:lumMod val="25000"/>
                <a:lumOff val="75000"/>
              </a:schemeClr>
            </a:solidFill>
            <a:round/>
          </a:ln>
          <a:effectLst/>
        </c:spPr>
        <c:txPr>
          <a:bodyPr rot="0" vert="horz"/>
          <a:lstStyle/>
          <a:p>
            <a:pPr>
              <a:defRPr sz="999" b="0" i="0" u="none" strike="noStrike" baseline="0">
                <a:solidFill>
                  <a:srgbClr val="333333"/>
                </a:solidFill>
                <a:latin typeface="Times New Roman"/>
                <a:ea typeface="Times New Roman"/>
                <a:cs typeface="Times New Roman"/>
              </a:defRPr>
            </a:pPr>
            <a:endParaRPr lang="ru-RU"/>
          </a:p>
        </c:txPr>
        <c:crossAx val="424131344"/>
        <c:crosses val="autoZero"/>
        <c:crossBetween val="midCat"/>
      </c:valAx>
      <c:valAx>
        <c:axId val="424131344"/>
        <c:scaling>
          <c:orientation val="minMax"/>
        </c:scaling>
        <c:delete val="0"/>
        <c:axPos val="l"/>
        <c:majorGridlines>
          <c:spPr>
            <a:ln w="9521" cap="flat" cmpd="sng" algn="ctr">
              <a:solidFill>
                <a:schemeClr val="tx1">
                  <a:lumMod val="15000"/>
                  <a:lumOff val="85000"/>
                </a:schemeClr>
              </a:solidFill>
              <a:round/>
            </a:ln>
            <a:effectLst/>
          </c:spPr>
        </c:majorGridlines>
        <c:numFmt formatCode="#\ ##0.0" sourceLinked="1"/>
        <c:majorTickMark val="none"/>
        <c:minorTickMark val="none"/>
        <c:tickLblPos val="nextTo"/>
        <c:spPr>
          <a:noFill/>
          <a:ln w="9521"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24132128"/>
        <c:crosses val="autoZero"/>
        <c:crossBetween val="midCat"/>
      </c:valAx>
      <c:spPr>
        <a:noFill/>
        <a:ln w="25372">
          <a:noFill/>
        </a:ln>
      </c:spPr>
    </c:plotArea>
    <c:plotVisOnly val="1"/>
    <c:dispBlanksAs val="gap"/>
    <c:showDLblsOverMax val="0"/>
  </c:chart>
  <c:spPr>
    <a:solidFill>
      <a:schemeClr val="bg1"/>
    </a:solidFill>
    <a:ln w="9521"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14FAB-32DA-4C08-A749-94EF1C960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35125</Words>
  <Characters>200213</Characters>
  <Application>Microsoft Office Word</Application>
  <DocSecurity>0</DocSecurity>
  <Lines>1668</Lines>
  <Paragraphs>469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234869</CharactersWithSpaces>
  <SharedDoc>false</SharedDoc>
  <HLinks>
    <vt:vector size="186" baseType="variant">
      <vt:variant>
        <vt:i4>1310771</vt:i4>
      </vt:variant>
      <vt:variant>
        <vt:i4>24</vt:i4>
      </vt:variant>
      <vt:variant>
        <vt:i4>0</vt:i4>
      </vt:variant>
      <vt:variant>
        <vt:i4>5</vt:i4>
      </vt:variant>
      <vt:variant>
        <vt:lpwstr>https://next-generation-eu.europa.eu/index_en</vt:lpwstr>
      </vt:variant>
      <vt:variant>
        <vt:lpwstr/>
      </vt:variant>
      <vt:variant>
        <vt:i4>65648</vt:i4>
      </vt:variant>
      <vt:variant>
        <vt:i4>21</vt:i4>
      </vt:variant>
      <vt:variant>
        <vt:i4>0</vt:i4>
      </vt:variant>
      <vt:variant>
        <vt:i4>5</vt:i4>
      </vt:variant>
      <vt:variant>
        <vt:lpwstr>https://agriculture.ec.europa.eu/common-agricultural-policy/cap-overview/cap-glance_en</vt:lpwstr>
      </vt:variant>
      <vt:variant>
        <vt:lpwstr>timeline</vt:lpwstr>
      </vt:variant>
      <vt:variant>
        <vt:i4>1572947</vt:i4>
      </vt:variant>
      <vt:variant>
        <vt:i4>84</vt:i4>
      </vt:variant>
      <vt:variant>
        <vt:i4>0</vt:i4>
      </vt:variant>
      <vt:variant>
        <vt:i4>5</vt:i4>
      </vt:variant>
      <vt:variant>
        <vt:lpwstr>https://www.gazeta.uz/ru/2022/07/07/agro-reforms/</vt:lpwstr>
      </vt:variant>
      <vt:variant>
        <vt:lpwstr/>
      </vt:variant>
      <vt:variant>
        <vt:i4>720963</vt:i4>
      </vt:variant>
      <vt:variant>
        <vt:i4>81</vt:i4>
      </vt:variant>
      <vt:variant>
        <vt:i4>0</vt:i4>
      </vt:variant>
      <vt:variant>
        <vt:i4>5</vt:i4>
      </vt:variant>
      <vt:variant>
        <vt:lpwstr>https://inbusiness.kz/ru/last/agrarii-ca-iz-za-ploho-razvitoj-infrastruktury-teryayut-do-</vt:lpwstr>
      </vt:variant>
      <vt:variant>
        <vt:lpwstr/>
      </vt:variant>
      <vt:variant>
        <vt:i4>3735669</vt:i4>
      </vt:variant>
      <vt:variant>
        <vt:i4>78</vt:i4>
      </vt:variant>
      <vt:variant>
        <vt:i4>0</vt:i4>
      </vt:variant>
      <vt:variant>
        <vt:i4>5</vt:i4>
      </vt:variant>
      <vt:variant>
        <vt:lpwstr>https://www.caa-network.org/archives/15858</vt:lpwstr>
      </vt:variant>
      <vt:variant>
        <vt:lpwstr/>
      </vt:variant>
      <vt:variant>
        <vt:i4>5570574</vt:i4>
      </vt:variant>
      <vt:variant>
        <vt:i4>75</vt:i4>
      </vt:variant>
      <vt:variant>
        <vt:i4>0</vt:i4>
      </vt:variant>
      <vt:variant>
        <vt:i4>5</vt:i4>
      </vt:variant>
      <vt:variant>
        <vt:lpwstr>../../../../WINDOW~1/AppData/Local/Temp/Rar$DIa17436.26366/moluch_322_ch2.pdf</vt:lpwstr>
      </vt:variant>
      <vt:variant>
        <vt:lpwstr/>
      </vt:variant>
      <vt:variant>
        <vt:i4>720968</vt:i4>
      </vt:variant>
      <vt:variant>
        <vt:i4>72</vt:i4>
      </vt:variant>
      <vt:variant>
        <vt:i4>0</vt:i4>
      </vt:variant>
      <vt:variant>
        <vt:i4>5</vt:i4>
      </vt:variant>
      <vt:variant>
        <vt:lpwstr>https://news.un.org/ru/story/2024/09/1455971</vt:lpwstr>
      </vt:variant>
      <vt:variant>
        <vt:lpwstr/>
      </vt:variant>
      <vt:variant>
        <vt:i4>7012392</vt:i4>
      </vt:variant>
      <vt:variant>
        <vt:i4>69</vt:i4>
      </vt:variant>
      <vt:variant>
        <vt:i4>0</vt:i4>
      </vt:variant>
      <vt:variant>
        <vt:i4>5</vt:i4>
      </vt:variant>
      <vt:variant>
        <vt:lpwstr>../../../../Windows 10/Downloads/4.INVESTISIYA VA QURILISH ISHLARI (7).pdf</vt:lpwstr>
      </vt:variant>
      <vt:variant>
        <vt:lpwstr/>
      </vt:variant>
      <vt:variant>
        <vt:i4>7733272</vt:i4>
      </vt:variant>
      <vt:variant>
        <vt:i4>66</vt:i4>
      </vt:variant>
      <vt:variant>
        <vt:i4>0</vt:i4>
      </vt:variant>
      <vt:variant>
        <vt:i4>5</vt:i4>
      </vt:variant>
      <vt:variant>
        <vt:lpwstr>https://www.europarl.europa.eu/thinktank/en/document/EPRS_STU(2023)698117</vt:lpwstr>
      </vt:variant>
      <vt:variant>
        <vt:lpwstr/>
      </vt:variant>
      <vt:variant>
        <vt:i4>7798881</vt:i4>
      </vt:variant>
      <vt:variant>
        <vt:i4>63</vt:i4>
      </vt:variant>
      <vt:variant>
        <vt:i4>0</vt:i4>
      </vt:variant>
      <vt:variant>
        <vt:i4>5</vt:i4>
      </vt:variant>
      <vt:variant>
        <vt:lpwstr>https://www.iof2020.eu/deliverables</vt:lpwstr>
      </vt:variant>
      <vt:variant>
        <vt:lpwstr/>
      </vt:variant>
      <vt:variant>
        <vt:i4>1310801</vt:i4>
      </vt:variant>
      <vt:variant>
        <vt:i4>60</vt:i4>
      </vt:variant>
      <vt:variant>
        <vt:i4>0</vt:i4>
      </vt:variant>
      <vt:variant>
        <vt:i4>5</vt:i4>
      </vt:variant>
      <vt:variant>
        <vt:lpwstr>https://www.copernicus.eu/en/agriculture</vt:lpwstr>
      </vt:variant>
      <vt:variant>
        <vt:lpwstr/>
      </vt:variant>
      <vt:variant>
        <vt:i4>7274610</vt:i4>
      </vt:variant>
      <vt:variant>
        <vt:i4>57</vt:i4>
      </vt:variant>
      <vt:variant>
        <vt:i4>0</vt:i4>
      </vt:variant>
      <vt:variant>
        <vt:i4>5</vt:i4>
      </vt:variant>
      <vt:variant>
        <vt:lpwstr>https://digital-strategy.ec.europa.eu/en/policies/agrifood-digital-age</vt:lpwstr>
      </vt:variant>
      <vt:variant>
        <vt:lpwstr/>
      </vt:variant>
      <vt:variant>
        <vt:i4>85</vt:i4>
      </vt:variant>
      <vt:variant>
        <vt:i4>54</vt:i4>
      </vt:variant>
      <vt:variant>
        <vt:i4>0</vt:i4>
      </vt:variant>
      <vt:variant>
        <vt:i4>5</vt:i4>
      </vt:variant>
      <vt:variant>
        <vt:lpwstr>https://www.fbn.com/analytics/reports</vt:lpwstr>
      </vt:variant>
      <vt:variant>
        <vt:lpwstr/>
      </vt:variant>
      <vt:variant>
        <vt:i4>2621501</vt:i4>
      </vt:variant>
      <vt:variant>
        <vt:i4>51</vt:i4>
      </vt:variant>
      <vt:variant>
        <vt:i4>0</vt:i4>
      </vt:variant>
      <vt:variant>
        <vt:i4>5</vt:i4>
      </vt:variant>
      <vt:variant>
        <vt:lpwstr>https://www.deere.com/en/precision-agriculture/</vt:lpwstr>
      </vt:variant>
      <vt:variant>
        <vt:lpwstr/>
      </vt:variant>
      <vt:variant>
        <vt:i4>7929980</vt:i4>
      </vt:variant>
      <vt:variant>
        <vt:i4>48</vt:i4>
      </vt:variant>
      <vt:variant>
        <vt:i4>0</vt:i4>
      </vt:variant>
      <vt:variant>
        <vt:i4>5</vt:i4>
      </vt:variant>
      <vt:variant>
        <vt:lpwstr>https://www.mckinsey.com/industries/agriculture/our-insights/agricultures-connected-future-how-technology-can-yield-new-growth</vt:lpwstr>
      </vt:variant>
      <vt:variant>
        <vt:lpwstr/>
      </vt:variant>
      <vt:variant>
        <vt:i4>4522062</vt:i4>
      </vt:variant>
      <vt:variant>
        <vt:i4>45</vt:i4>
      </vt:variant>
      <vt:variant>
        <vt:i4>0</vt:i4>
      </vt:variant>
      <vt:variant>
        <vt:i4>5</vt:i4>
      </vt:variant>
      <vt:variant>
        <vt:lpwstr>https://www.climate.com/fieldview</vt:lpwstr>
      </vt:variant>
      <vt:variant>
        <vt:lpwstr/>
      </vt:variant>
      <vt:variant>
        <vt:i4>4980816</vt:i4>
      </vt:variant>
      <vt:variant>
        <vt:i4>42</vt:i4>
      </vt:variant>
      <vt:variant>
        <vt:i4>0</vt:i4>
      </vt:variant>
      <vt:variant>
        <vt:i4>5</vt:i4>
      </vt:variant>
      <vt:variant>
        <vt:lpwstr>https://www.usda.gov/topics/farming/precision-agriculture-and-digital-agriculture</vt:lpwstr>
      </vt:variant>
      <vt:variant>
        <vt:lpwstr/>
      </vt:variant>
      <vt:variant>
        <vt:i4>1835048</vt:i4>
      </vt:variant>
      <vt:variant>
        <vt:i4>39</vt:i4>
      </vt:variant>
      <vt:variant>
        <vt:i4>0</vt:i4>
      </vt:variant>
      <vt:variant>
        <vt:i4>5</vt:i4>
      </vt:variant>
      <vt:variant>
        <vt:lpwstr>https://eec.eaeunion.org/comission/department/dep_stat/union_stat/current_stat/investments/series/?ysclid=m1tmg7doa4877555903</vt:lpwstr>
      </vt:variant>
      <vt:variant>
        <vt:lpwstr/>
      </vt:variant>
      <vt:variant>
        <vt:i4>4259867</vt:i4>
      </vt:variant>
      <vt:variant>
        <vt:i4>36</vt:i4>
      </vt:variant>
      <vt:variant>
        <vt:i4>0</vt:i4>
      </vt:variant>
      <vt:variant>
        <vt:i4>5</vt:i4>
      </vt:variant>
      <vt:variant>
        <vt:lpwstr>https://eec.eaeunion.org/</vt:lpwstr>
      </vt:variant>
      <vt:variant>
        <vt:lpwstr/>
      </vt:variant>
      <vt:variant>
        <vt:i4>2425018</vt:i4>
      </vt:variant>
      <vt:variant>
        <vt:i4>33</vt:i4>
      </vt:variant>
      <vt:variant>
        <vt:i4>0</vt:i4>
      </vt:variant>
      <vt:variant>
        <vt:i4>5</vt:i4>
      </vt:variant>
      <vt:variant>
        <vt:lpwstr>../../../../ÐÑÑÒÐ°ÑÐ¾Ð² Ð¤Ð°Ð¹Ð·ÑÐ</vt:lpwstr>
      </vt:variant>
      <vt:variant>
        <vt:lpwstr/>
      </vt:variant>
      <vt:variant>
        <vt:i4>7667755</vt:i4>
      </vt:variant>
      <vt:variant>
        <vt:i4>30</vt:i4>
      </vt:variant>
      <vt:variant>
        <vt:i4>0</vt:i4>
      </vt:variant>
      <vt:variant>
        <vt:i4>5</vt:i4>
      </vt:variant>
      <vt:variant>
        <vt:lpwstr>http://ej.kubagro.ru/2005/06/18/?ysclid=lxcahbwvlb909793780</vt:lpwstr>
      </vt:variant>
      <vt:variant>
        <vt:lpwstr/>
      </vt:variant>
      <vt:variant>
        <vt:i4>2752621</vt:i4>
      </vt:variant>
      <vt:variant>
        <vt:i4>27</vt:i4>
      </vt:variant>
      <vt:variant>
        <vt:i4>0</vt:i4>
      </vt:variant>
      <vt:variant>
        <vt:i4>5</vt:i4>
      </vt:variant>
      <vt:variant>
        <vt:lpwstr>https://www.sciencedirect.com/science/article/abs/pii/S0306919220301652</vt:lpwstr>
      </vt:variant>
      <vt:variant>
        <vt:lpwstr/>
      </vt:variant>
      <vt:variant>
        <vt:i4>2425018</vt:i4>
      </vt:variant>
      <vt:variant>
        <vt:i4>24</vt:i4>
      </vt:variant>
      <vt:variant>
        <vt:i4>0</vt:i4>
      </vt:variant>
      <vt:variant>
        <vt:i4>5</vt:i4>
      </vt:variant>
      <vt:variant>
        <vt:lpwstr>../../../../ÐÑÑÒÐ°ÑÐ¾Ð² Ð¤Ð°Ð¹Ð·ÑÐ</vt:lpwstr>
      </vt:variant>
      <vt:variant>
        <vt:lpwstr/>
      </vt:variant>
      <vt:variant>
        <vt:i4>7667755</vt:i4>
      </vt:variant>
      <vt:variant>
        <vt:i4>21</vt:i4>
      </vt:variant>
      <vt:variant>
        <vt:i4>0</vt:i4>
      </vt:variant>
      <vt:variant>
        <vt:i4>5</vt:i4>
      </vt:variant>
      <vt:variant>
        <vt:lpwstr>http://ej.kubagro.ru/2005/06/18/?ysclid=lxcahbwvlb909793780</vt:lpwstr>
      </vt:variant>
      <vt:variant>
        <vt:lpwstr/>
      </vt:variant>
      <vt:variant>
        <vt:i4>2752621</vt:i4>
      </vt:variant>
      <vt:variant>
        <vt:i4>18</vt:i4>
      </vt:variant>
      <vt:variant>
        <vt:i4>0</vt:i4>
      </vt:variant>
      <vt:variant>
        <vt:i4>5</vt:i4>
      </vt:variant>
      <vt:variant>
        <vt:lpwstr>https://www.sciencedirect.com/science/article/abs/pii/S0306919220301652</vt:lpwstr>
      </vt:variant>
      <vt:variant>
        <vt:lpwstr/>
      </vt:variant>
      <vt:variant>
        <vt:i4>2097250</vt:i4>
      </vt:variant>
      <vt:variant>
        <vt:i4>15</vt:i4>
      </vt:variant>
      <vt:variant>
        <vt:i4>0</vt:i4>
      </vt:variant>
      <vt:variant>
        <vt:i4>5</vt:i4>
      </vt:variant>
      <vt:variant>
        <vt:lpwstr>https://www.rfbr.ru/library/books?aid=7139</vt:lpwstr>
      </vt:variant>
      <vt:variant>
        <vt:lpwstr/>
      </vt:variant>
      <vt:variant>
        <vt:i4>6422629</vt:i4>
      </vt:variant>
      <vt:variant>
        <vt:i4>12</vt:i4>
      </vt:variant>
      <vt:variant>
        <vt:i4>0</vt:i4>
      </vt:variant>
      <vt:variant>
        <vt:i4>5</vt:i4>
      </vt:variant>
      <vt:variant>
        <vt:lpwstr>https://biblioclub.ru/index.php?page=publisher_red&amp;pub_id=15289</vt:lpwstr>
      </vt:variant>
      <vt:variant>
        <vt:lpwstr/>
      </vt:variant>
      <vt:variant>
        <vt:i4>6422548</vt:i4>
      </vt:variant>
      <vt:variant>
        <vt:i4>9</vt:i4>
      </vt:variant>
      <vt:variant>
        <vt:i4>0</vt:i4>
      </vt:variant>
      <vt:variant>
        <vt:i4>5</vt:i4>
      </vt:variant>
      <vt:variant>
        <vt:lpwstr>https://biblioclub.ru/index.php?page=author_red&amp;id=94760</vt:lpwstr>
      </vt:variant>
      <vt:variant>
        <vt:lpwstr/>
      </vt:variant>
      <vt:variant>
        <vt:i4>4390920</vt:i4>
      </vt:variant>
      <vt:variant>
        <vt:i4>6</vt:i4>
      </vt:variant>
      <vt:variant>
        <vt:i4>0</vt:i4>
      </vt:variant>
      <vt:variant>
        <vt:i4>5</vt:i4>
      </vt:variant>
      <vt:variant>
        <vt:lpwstr>https://book.ru/extrasearch?author=%D0%9E%D1%80%D0%B5%D1%85%D0%BE%D0%B2%D0%B0+%D0%9D.%D0%9F.</vt:lpwstr>
      </vt:variant>
      <vt:variant>
        <vt:lpwstr/>
      </vt:variant>
      <vt:variant>
        <vt:i4>6357116</vt:i4>
      </vt:variant>
      <vt:variant>
        <vt:i4>3</vt:i4>
      </vt:variant>
      <vt:variant>
        <vt:i4>0</vt:i4>
      </vt:variant>
      <vt:variant>
        <vt:i4>5</vt:i4>
      </vt:variant>
      <vt:variant>
        <vt:lpwstr>https://book.ru/extrasearch?author=%D0%A4%D0%B8%D0%BB%D0%B0%D1%82%D0%BE%D0%B2%D0%B0+%D0%A2.%D0%92.</vt:lpwstr>
      </vt:variant>
      <vt:variant>
        <vt:lpwstr/>
      </vt:variant>
      <vt:variant>
        <vt:i4>7143469</vt:i4>
      </vt:variant>
      <vt:variant>
        <vt:i4>0</vt:i4>
      </vt:variant>
      <vt:variant>
        <vt:i4>0</vt:i4>
      </vt:variant>
      <vt:variant>
        <vt:i4>5</vt:i4>
      </vt:variant>
      <vt:variant>
        <vt:lpwstr>https://book.ru/extrasearch?author=%D0%91%D1%80%D1%83%D1%81%D0%BE%D0%B2+%D0%9F.%D0%9D.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acer</cp:lastModifiedBy>
  <cp:revision>4</cp:revision>
  <cp:lastPrinted>2025-10-10T12:57:00Z</cp:lastPrinted>
  <dcterms:created xsi:type="dcterms:W3CDTF">2026-07-02T08:05:00Z</dcterms:created>
  <dcterms:modified xsi:type="dcterms:W3CDTF">2026-07-02T08:08:00Z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256ec0aace555ff56cf2164f0b7b8dacb0dd2de42c5dd96d2ced3ce4b863ac01</vt:lpwstr>
  </property>
</Properties>
</file>